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8504"/>
      </w:tblGrid>
      <w:tr w:rsidR="00AB7E85" w:rsidRPr="00AB7E85">
        <w:trPr>
          <w:tblCellSpacing w:w="0" w:type="dxa"/>
        </w:trPr>
        <w:tc>
          <w:tcPr>
            <w:tcW w:w="0" w:type="auto"/>
            <w:shd w:val="clear" w:color="auto" w:fill="FFFFFF"/>
            <w:vAlign w:val="center"/>
            <w:hideMark/>
          </w:tcPr>
          <w:tbl>
            <w:tblPr>
              <w:tblW w:w="5000" w:type="pct"/>
              <w:tblCellSpacing w:w="0" w:type="dxa"/>
              <w:tblCellMar>
                <w:left w:w="0" w:type="dxa"/>
                <w:right w:w="0" w:type="dxa"/>
              </w:tblCellMar>
              <w:tblLook w:val="04A0"/>
            </w:tblPr>
            <w:tblGrid>
              <w:gridCol w:w="8504"/>
            </w:tblGrid>
            <w:tr w:rsidR="00AB7E85" w:rsidRPr="00AB7E85">
              <w:trPr>
                <w:tblCellSpacing w:w="0" w:type="dxa"/>
              </w:trPr>
              <w:tc>
                <w:tcPr>
                  <w:tcW w:w="0" w:type="auto"/>
                  <w:vAlign w:val="center"/>
                  <w:hideMark/>
                </w:tcPr>
                <w:p w:rsidR="00AB7E85" w:rsidRPr="00AB7E85" w:rsidRDefault="00AB7E85" w:rsidP="00AB7E85">
                  <w:pPr>
                    <w:spacing w:before="100" w:beforeAutospacing="1" w:after="100" w:afterAutospacing="1" w:line="240" w:lineRule="auto"/>
                    <w:jc w:val="center"/>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ÁLVARO MARCELO GARCIA LINERA</w:t>
                  </w:r>
                  <w:r w:rsidRPr="00AB7E85">
                    <w:rPr>
                      <w:rFonts w:ascii="Arial" w:eastAsia="Times New Roman" w:hAnsi="Arial" w:cs="Arial"/>
                      <w:b/>
                      <w:bCs/>
                      <w:i/>
                      <w:iCs/>
                      <w:sz w:val="21"/>
                      <w:szCs w:val="21"/>
                      <w:lang w:eastAsia="es-ES"/>
                    </w:rPr>
                    <w:br/>
                    <w:t>PRESIDENTE EN EJERCICIO DEL ESTADO PLURINACIONAL DE BOLIVIA</w:t>
                  </w:r>
                </w:p>
                <w:p w:rsidR="00AB7E85" w:rsidRPr="00AB7E85" w:rsidRDefault="00AB7E85" w:rsidP="00AB7E85">
                  <w:pPr>
                    <w:spacing w:after="0" w:line="240" w:lineRule="auto"/>
                    <w:rPr>
                      <w:rFonts w:ascii="Arial" w:eastAsia="Times New Roman" w:hAnsi="Arial" w:cs="Arial"/>
                      <w:i/>
                      <w:iCs/>
                      <w:sz w:val="21"/>
                      <w:szCs w:val="21"/>
                      <w:lang w:eastAsia="es-ES"/>
                    </w:rPr>
                  </w:pPr>
                  <w:r w:rsidRPr="00AB7E85">
                    <w:rPr>
                      <w:rFonts w:ascii="Arial" w:eastAsia="Times New Roman" w:hAnsi="Arial" w:cs="Arial"/>
                      <w:i/>
                      <w:iCs/>
                      <w:sz w:val="21"/>
                      <w:szCs w:val="21"/>
                      <w:lang w:eastAsia="es-ES"/>
                    </w:rPr>
                    <w:t xml:space="preserve">Por cuanto, la Asamblea Legislativa Plurinacional, ha sancionado la siguiente Ley: </w:t>
                  </w:r>
                </w:p>
                <w:p w:rsidR="00AB7E85" w:rsidRPr="00AB7E85" w:rsidRDefault="00AB7E85" w:rsidP="00AB7E85">
                  <w:pPr>
                    <w:spacing w:before="100" w:beforeAutospacing="1" w:after="100" w:afterAutospacing="1" w:line="240" w:lineRule="auto"/>
                    <w:jc w:val="center"/>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 xml:space="preserve">LA ASAMBLEA LEGISLATIVA PLURINACIONAL, </w:t>
                  </w:r>
                </w:p>
                <w:p w:rsidR="00AB7E85" w:rsidRPr="00AB7E85" w:rsidRDefault="00AB7E85" w:rsidP="00AB7E85">
                  <w:pPr>
                    <w:spacing w:after="0" w:line="240" w:lineRule="auto"/>
                    <w:rPr>
                      <w:rFonts w:ascii="Arial" w:eastAsia="Times New Roman" w:hAnsi="Arial" w:cs="Arial"/>
                      <w:i/>
                      <w:iCs/>
                      <w:sz w:val="21"/>
                      <w:szCs w:val="21"/>
                      <w:lang w:eastAsia="es-ES"/>
                    </w:rPr>
                  </w:pPr>
                  <w:r w:rsidRPr="00AB7E85">
                    <w:rPr>
                      <w:rFonts w:ascii="Arial" w:eastAsia="Times New Roman" w:hAnsi="Arial" w:cs="Arial"/>
                      <w:b/>
                      <w:bCs/>
                      <w:i/>
                      <w:iCs/>
                      <w:sz w:val="21"/>
                      <w:szCs w:val="21"/>
                      <w:lang w:eastAsia="es-ES"/>
                    </w:rPr>
                    <w:t>DECRETA:</w:t>
                  </w:r>
                </w:p>
              </w:tc>
            </w:tr>
            <w:tr w:rsidR="00AB7E85" w:rsidRPr="00AB7E85">
              <w:trPr>
                <w:tblCellSpacing w:w="0" w:type="dxa"/>
              </w:trPr>
              <w:tc>
                <w:tcPr>
                  <w:tcW w:w="0" w:type="auto"/>
                  <w:vAlign w:val="center"/>
                  <w:hideMark/>
                </w:tcPr>
                <w:p w:rsidR="00AB7E85" w:rsidRPr="00AB7E85" w:rsidRDefault="00AB7E85" w:rsidP="00AB7E85">
                  <w:pPr>
                    <w:spacing w:after="0" w:line="240" w:lineRule="auto"/>
                    <w:jc w:val="center"/>
                    <w:rPr>
                      <w:rFonts w:ascii="Arial" w:eastAsia="Times New Roman" w:hAnsi="Arial" w:cs="Arial"/>
                      <w:b/>
                      <w:bCs/>
                      <w:sz w:val="21"/>
                      <w:szCs w:val="21"/>
                      <w:lang w:eastAsia="es-ES"/>
                    </w:rPr>
                  </w:pPr>
                  <w:r w:rsidRPr="00AB7E85">
                    <w:rPr>
                      <w:rFonts w:ascii="Arial" w:eastAsia="Times New Roman" w:hAnsi="Arial" w:cs="Arial"/>
                      <w:b/>
                      <w:bCs/>
                      <w:sz w:val="21"/>
                      <w:szCs w:val="21"/>
                      <w:lang w:eastAsia="es-ES"/>
                    </w:rPr>
                    <w:br/>
                    <w:t>LEY DE MODIFICACIONES AL SISTEMA NORMATIVO PENAL</w:t>
                  </w:r>
                </w:p>
              </w:tc>
            </w:tr>
            <w:tr w:rsidR="00AB7E85" w:rsidRPr="00AB7E85">
              <w:trPr>
                <w:tblCellSpacing w:w="0" w:type="dxa"/>
              </w:trPr>
              <w:tc>
                <w:tcPr>
                  <w:tcW w:w="5000" w:type="pct"/>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bl>
                  <w:tblPr>
                    <w:tblW w:w="5000" w:type="pct"/>
                    <w:tblCellSpacing w:w="0" w:type="dxa"/>
                    <w:tblCellMar>
                      <w:left w:w="0" w:type="dxa"/>
                      <w:right w:w="0" w:type="dxa"/>
                    </w:tblCellMar>
                    <w:tblLook w:val="04A0"/>
                  </w:tblPr>
                  <w:tblGrid>
                    <w:gridCol w:w="7200"/>
                    <w:gridCol w:w="1304"/>
                  </w:tblGrid>
                  <w:tr w:rsidR="00AB7E85" w:rsidRPr="00AB7E85">
                    <w:trPr>
                      <w:tblCellSpacing w:w="0" w:type="dxa"/>
                    </w:trPr>
                    <w:tc>
                      <w:tcPr>
                        <w:tcW w:w="7200" w:type="dxa"/>
                        <w:vAlign w:val="center"/>
                        <w:hideMark/>
                      </w:tcPr>
                      <w:p w:rsidR="00AB7E85" w:rsidRPr="00AB7E85" w:rsidRDefault="00AB7E85" w:rsidP="00AB7E85">
                        <w:pPr>
                          <w:spacing w:after="0" w:line="240" w:lineRule="auto"/>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ARTÍCULO 1. (Modificaciones a la Ley Nº 1970, de 25 de Marzo de 1999, del Código de Procedimiento Penal).</w:t>
                        </w:r>
                      </w:p>
                    </w:tc>
                    <w:tc>
                      <w:tcPr>
                        <w:tcW w:w="0" w:type="auto"/>
                        <w:hideMark/>
                      </w:tcPr>
                      <w:p w:rsidR="00AB7E85" w:rsidRPr="00AB7E85" w:rsidRDefault="00AB7E85" w:rsidP="00435496">
                        <w:pPr>
                          <w:spacing w:after="0" w:line="240" w:lineRule="auto"/>
                          <w:jc w:val="right"/>
                          <w:rPr>
                            <w:rFonts w:ascii="Arial" w:eastAsia="Times New Roman" w:hAnsi="Arial" w:cs="Arial"/>
                            <w:sz w:val="21"/>
                            <w:szCs w:val="21"/>
                            <w:lang w:eastAsia="es-ES"/>
                          </w:rPr>
                        </w:pP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br/>
                    <w:t xml:space="preserve">Se modifican los Artículos 11, 53, 54, 210, 222, 223, 226, 233, 234, 235, 235 ter, 239, 240, 242, 243, 252, 253, 300, 301, 321, 323, 325, 392 de la </w:t>
                  </w:r>
                  <w:hyperlink r:id="rId4" w:history="1">
                    <w:r w:rsidRPr="00AB7E85">
                      <w:rPr>
                        <w:rFonts w:ascii="Arial" w:eastAsia="Times New Roman" w:hAnsi="Arial" w:cs="Arial"/>
                        <w:sz w:val="21"/>
                        <w:u w:val="single"/>
                        <w:lang w:eastAsia="es-ES"/>
                      </w:rPr>
                      <w:t>Ley Nº 1970</w:t>
                    </w:r>
                  </w:hyperlink>
                  <w:r w:rsidRPr="00AB7E85">
                    <w:rPr>
                      <w:rFonts w:ascii="Arial" w:eastAsia="Times New Roman" w:hAnsi="Arial" w:cs="Arial"/>
                      <w:sz w:val="21"/>
                      <w:szCs w:val="21"/>
                      <w:lang w:eastAsia="es-ES"/>
                    </w:rPr>
                    <w:t xml:space="preserve"> de 25 de marzo de 1999 (</w:t>
                  </w:r>
                  <w:hyperlink r:id="rId5" w:history="1">
                    <w:r w:rsidRPr="00AB7E85">
                      <w:rPr>
                        <w:rFonts w:ascii="Arial" w:eastAsia="Times New Roman" w:hAnsi="Arial" w:cs="Arial"/>
                        <w:sz w:val="21"/>
                        <w:u w:val="single"/>
                        <w:lang w:eastAsia="es-ES"/>
                      </w:rPr>
                      <w:t>Ley del Código de Procedimiento Penal</w:t>
                    </w:r>
                  </w:hyperlink>
                  <w:r w:rsidRPr="00AB7E85">
                    <w:rPr>
                      <w:rFonts w:ascii="Arial" w:eastAsia="Times New Roman" w:hAnsi="Arial" w:cs="Arial"/>
                      <w:sz w:val="21"/>
                      <w:szCs w:val="21"/>
                      <w:lang w:eastAsia="es-ES"/>
                    </w:rPr>
                    <w:t xml:space="preserve">), los cuales quedarán redactados de la siguiente forma: </w:t>
                  </w:r>
                </w:p>
                <w:tbl>
                  <w:tblPr>
                    <w:tblW w:w="5000" w:type="pct"/>
                    <w:tblCellSpacing w:w="0" w:type="dxa"/>
                    <w:tblCellMar>
                      <w:left w:w="0" w:type="dxa"/>
                      <w:right w:w="0" w:type="dxa"/>
                    </w:tblCellMar>
                    <w:tblLook w:val="04A0"/>
                  </w:tblPr>
                  <w:tblGrid>
                    <w:gridCol w:w="585"/>
                    <w:gridCol w:w="7919"/>
                  </w:tblGrid>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11. (Garantía de la Víctima).</w:t>
                        </w:r>
                        <w:r w:rsidRPr="00AB7E85">
                          <w:rPr>
                            <w:rFonts w:ascii="Arial" w:eastAsia="Times New Roman" w:hAnsi="Arial" w:cs="Arial"/>
                            <w:sz w:val="21"/>
                            <w:szCs w:val="21"/>
                            <w:lang w:eastAsia="es-ES"/>
                          </w:rPr>
                          <w:t xml:space="preserve"> La víctima por si sola o por intermedio de un abogado, sea particular o del Estado, podrá intervenir en el proceso penal aunque no se hubiera constituido en querellante.</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Articulo 53. (Jueces de Sentencia).</w:t>
                        </w:r>
                        <w:r w:rsidRPr="00AB7E85">
                          <w:rPr>
                            <w:rFonts w:ascii="Arial" w:eastAsia="Times New Roman" w:hAnsi="Arial" w:cs="Arial"/>
                            <w:sz w:val="21"/>
                            <w:szCs w:val="21"/>
                            <w:lang w:eastAsia="es-ES"/>
                          </w:rPr>
                          <w:t xml:space="preserve"> Los jueces de sentencia son competentes para conocer la sustanciación y resolución de:</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Los juicios por delitos de acción privada;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Los juicios por delitos de acción pública, sancionados con pena no privativa de libertad o con pena privativa de libertad cuyo máximo legal sea de cuatro o menos años;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Los juicios por delitos de acción pública flagrantes, conforme al procedimiento inmediato previsto en este Código;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El procedimiento para la reparación del daño, cuando se haya dictado sentencia condenatoria; y</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5)</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Acción de Libertad, cuando sea planteada ante ellos.</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Articulo 54. (Jueces de Instrucción).</w:t>
                        </w:r>
                        <w:r w:rsidRPr="00AB7E85">
                          <w:rPr>
                            <w:rFonts w:ascii="Arial" w:eastAsia="Times New Roman" w:hAnsi="Arial" w:cs="Arial"/>
                            <w:sz w:val="21"/>
                            <w:szCs w:val="21"/>
                            <w:lang w:eastAsia="es-ES"/>
                          </w:rPr>
                          <w:t xml:space="preserve"> Los jueces de instrucción son competentes para:</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El control de la investigación, conforme a las facultades y deberes previstos en este Código;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Emitir las resoluciones jurisdiccionales que correspondan durante la etapa preparatoria y de la aplicación de criterios de oportunidad;</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sustanciación y resolución del proceso abreviado;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Resolver la aplicación del procedimiento inmediato para delitos flagrantes;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5)</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Dirigir la audiencia de preparación de juicio y resolver sobre las cuestiones e incidentes planteados en la misma;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lastRenderedPageBreak/>
                                <w:t>6)</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Decidir la suspensión del proceso a prueba;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7)</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Homologar la conciliación, siempre que sea procedente, cuando les sea presentada;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8)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Decidir sobre las solicitudes de cooperación judicial internacional;</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9)</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Conocer y resolver sobre la incautación de bienes y sus incidentes; y,</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10)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Conocer y resolver la Acción de Libertad, si no existieran jueces de sentencia en su asiento jurisdiccional, cuando sea planteada ante ellos.</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210. (Excusa y Recusación).</w:t>
                        </w:r>
                        <w:r w:rsidRPr="00AB7E85">
                          <w:rPr>
                            <w:rFonts w:ascii="Arial" w:eastAsia="Times New Roman" w:hAnsi="Arial" w:cs="Arial"/>
                            <w:sz w:val="21"/>
                            <w:szCs w:val="21"/>
                            <w:lang w:eastAsia="es-ES"/>
                          </w:rPr>
                          <w:t xml:space="preserve"> Los peritos podrán excusarse o ser recusados por los mismos motivos establecidos para los jueces, excepto por su participación en cualquier etapa del proceso. El juez o tribunal resolverá lo que corresponda, previa averiguación sumaria sobre el motivo invocado sin recurso ulterior.</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222. (Carácter).</w:t>
                        </w:r>
                        <w:r w:rsidRPr="00AB7E85">
                          <w:rPr>
                            <w:rFonts w:ascii="Arial" w:eastAsia="Times New Roman" w:hAnsi="Arial" w:cs="Arial"/>
                            <w:sz w:val="21"/>
                            <w:szCs w:val="21"/>
                            <w:lang w:eastAsia="es-ES"/>
                          </w:rPr>
                          <w:t xml:space="preserve"> Las medidas cautelares de carácter personal, se aplicarán con criterio restrictivo y se ejecutarán de modo que perjudiquen lo menos posible a la persona y reputación de los afectados. </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Las medidas cautelares de carácter real, serán las previstas en el </w:t>
                        </w:r>
                        <w:hyperlink r:id="rId6" w:history="1">
                          <w:r w:rsidRPr="00AB7E85">
                            <w:rPr>
                              <w:rFonts w:ascii="Arial" w:eastAsia="Times New Roman" w:hAnsi="Arial" w:cs="Arial"/>
                              <w:sz w:val="21"/>
                              <w:u w:val="single"/>
                              <w:lang w:eastAsia="es-ES"/>
                            </w:rPr>
                            <w:t>Código de Procedimiento Civil</w:t>
                          </w:r>
                        </w:hyperlink>
                        <w:r w:rsidRPr="00AB7E85">
                          <w:rPr>
                            <w:rFonts w:ascii="Arial" w:eastAsia="Times New Roman" w:hAnsi="Arial" w:cs="Arial"/>
                            <w:sz w:val="21"/>
                            <w:szCs w:val="21"/>
                            <w:lang w:eastAsia="es-ES"/>
                          </w:rPr>
                          <w:t>, se impondrán únicamente en los casos expresamente indicados por este Código, así como el pago de las costas y multas.</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223. (Presentación espontánea).</w:t>
                        </w:r>
                        <w:r w:rsidRPr="00AB7E85">
                          <w:rPr>
                            <w:rFonts w:ascii="Arial" w:eastAsia="Times New Roman" w:hAnsi="Arial" w:cs="Arial"/>
                            <w:sz w:val="21"/>
                            <w:szCs w:val="21"/>
                            <w:lang w:eastAsia="es-ES"/>
                          </w:rPr>
                          <w:t xml:space="preserve"> La persona contra quien se haya iniciado un proceso, podrá presentarse personalmente acreditando su identidad ante el fiscal encargado de la investigación, pidiendo se reciba su declaración, que se mantenga su libertad o se manifieste sobre la aplicación de una medida cautelar.</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Si el fiscal no se pronuncia dentro de las cuarenta y ocho horas, el imputado acudirá ante el juez de la instrucción para que resuelva sobre la procedencia de su libertad o de alguna de las medidas cautelares.</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La presentación espontanea, por sí sola no desvirtúa los peligros procesales que motivan la aplicación de medidas cautelares.</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226. (Aprehensión por la Fiscalía).</w:t>
                        </w:r>
                        <w:r w:rsidRPr="00AB7E85">
                          <w:rPr>
                            <w:rFonts w:ascii="Arial" w:eastAsia="Times New Roman" w:hAnsi="Arial" w:cs="Arial"/>
                            <w:sz w:val="21"/>
                            <w:szCs w:val="21"/>
                            <w:lang w:eastAsia="es-ES"/>
                          </w:rPr>
                          <w:t xml:space="preserve"> El fiscal podrá ordenar la aprehensión del imputado, cuando sea necesaria su presencia y existan suficientes indicios de que es autor o partícipe de un delito de acción pública sancionado con pena privativa de libertad, cuyo mínimo legal sea igual o superior a dos años y de que pueda ocultarse, fugarse o ausentarse del lugar u obstaculizar la averiguación de la verdad, excepto en los delitos previstos y sancionados por los Artículos 132 bis, 185, 254, 271 primer párrafo y 331 del </w:t>
                        </w:r>
                        <w:hyperlink r:id="rId7" w:history="1">
                          <w:r w:rsidRPr="00AB7E85">
                            <w:rPr>
                              <w:rFonts w:ascii="Arial" w:eastAsia="Times New Roman" w:hAnsi="Arial" w:cs="Arial"/>
                              <w:sz w:val="21"/>
                              <w:u w:val="single"/>
                              <w:lang w:eastAsia="es-ES"/>
                            </w:rPr>
                            <w:t>Código Penal</w:t>
                          </w:r>
                        </w:hyperlink>
                        <w:r w:rsidRPr="00AB7E85">
                          <w:rPr>
                            <w:rFonts w:ascii="Arial" w:eastAsia="Times New Roman" w:hAnsi="Arial" w:cs="Arial"/>
                            <w:sz w:val="21"/>
                            <w:szCs w:val="21"/>
                            <w:lang w:eastAsia="es-ES"/>
                          </w:rPr>
                          <w:t xml:space="preserve">. </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La persona aprehendida será puesta a disposición del juez, en el plazo de veinticuatro (24) horas, para que resuelva dentro del mismo plazo, sobre la aplicación de alguna de las medidas cautelares previstas en este Código o decrete su libertad por falta de indicios.</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233. (Requisitos para la detención preventiva).</w:t>
                        </w:r>
                        <w:r w:rsidRPr="00AB7E85">
                          <w:rPr>
                            <w:rFonts w:ascii="Arial" w:eastAsia="Times New Roman" w:hAnsi="Arial" w:cs="Arial"/>
                            <w:sz w:val="21"/>
                            <w:szCs w:val="21"/>
                            <w:lang w:eastAsia="es-ES"/>
                          </w:rPr>
                          <w:t xml:space="preserve"> Realizada la imputación formal, el juez podrá ordenar la detención preventiva del imputado, a pedido fundamentado del fiscal o de la víctima aunque no se hubiera constituido en querellante, cuando concurran los siguientes requisitos:</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La existencia de elementos de convicción suficientes para sostener que el </w:t>
                              </w:r>
                              <w:r w:rsidRPr="00AB7E85">
                                <w:rPr>
                                  <w:rFonts w:ascii="Arial" w:eastAsia="Times New Roman" w:hAnsi="Arial" w:cs="Arial"/>
                                  <w:sz w:val="21"/>
                                  <w:szCs w:val="21"/>
                                  <w:lang w:eastAsia="es-ES"/>
                                </w:rPr>
                                <w:lastRenderedPageBreak/>
                                <w:t>imputado es, con probabilidad, autor o partícipe de un hecho punible.</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lastRenderedPageBreak/>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existencia de elementos de convicción suficientes de que el imputado no se someterá al proceso u obstaculizará la averiguación de la verdad.</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234. (Peligro de Fuga).</w:t>
                        </w:r>
                        <w:r w:rsidRPr="00AB7E85">
                          <w:rPr>
                            <w:rFonts w:ascii="Arial" w:eastAsia="Times New Roman" w:hAnsi="Arial" w:cs="Arial"/>
                            <w:sz w:val="21"/>
                            <w:szCs w:val="21"/>
                            <w:lang w:eastAsia="es-ES"/>
                          </w:rPr>
                          <w:t xml:space="preserve"> Por peligro de fuga se entiende a toda circunstancia que permita sostener fundadamente que el imputado no se someterá al proceso buscando evadir la acción de la justicia. </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Para decidir acerca de su concurrencia, se realizará una evaluación integral de las circunstancias existentes, teniendo especialmente en cuenta las siguientes:</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1.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Que el imputado no tenga domicilio o residencia habitual, ni familia, negocios o trabajo asentados en el país;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Las facilidades para abandonar el país o permanecer oculto;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La evidencia de que el imputado </w:t>
                              </w:r>
                              <w:proofErr w:type="spellStart"/>
                              <w:r w:rsidRPr="00AB7E85">
                                <w:rPr>
                                  <w:rFonts w:ascii="Arial" w:eastAsia="Times New Roman" w:hAnsi="Arial" w:cs="Arial"/>
                                  <w:sz w:val="21"/>
                                  <w:szCs w:val="21"/>
                                  <w:lang w:eastAsia="es-ES"/>
                                </w:rPr>
                                <w:t>esta</w:t>
                              </w:r>
                              <w:proofErr w:type="spellEnd"/>
                              <w:r w:rsidRPr="00AB7E85">
                                <w:rPr>
                                  <w:rFonts w:ascii="Arial" w:eastAsia="Times New Roman" w:hAnsi="Arial" w:cs="Arial"/>
                                  <w:sz w:val="21"/>
                                  <w:szCs w:val="21"/>
                                  <w:lang w:eastAsia="es-ES"/>
                                </w:rPr>
                                <w:t xml:space="preserve"> realizando actos preparatorios de fuga;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El comportamiento del imputado durante el proceso o en otro anterior, en la medida que indique su voluntad de no someterse al mismo;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5.</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actitud que el imputado adopta voluntariamente respecto a la importancia del daño resarcible;</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6.</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El haber sido imputado por la comisión de otro hecho delictivo doloso o haber recibido condena privativa de libertad en primera instancia;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7.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Habérsele aplicado alguna salida alternativa por delito doloso;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8.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existencia de actividad delictiva reiterada o anterior;</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9.</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El pertenecer a asociaciones delictivas u organizaciones criminales;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10.</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Peligro efectivo para la sociedad o para la víctima o el denunciante; y</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Cualquier otra circunstancia debidamente acreditada, que permita sostener fundadamente que el imputado se encuentra en riesgo de fuga. </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235. (Peligro de Obstaculización).</w:t>
                        </w:r>
                        <w:r w:rsidRPr="00AB7E85">
                          <w:rPr>
                            <w:rFonts w:ascii="Arial" w:eastAsia="Times New Roman" w:hAnsi="Arial" w:cs="Arial"/>
                            <w:sz w:val="21"/>
                            <w:szCs w:val="21"/>
                            <w:lang w:eastAsia="es-ES"/>
                          </w:rPr>
                          <w:t xml:space="preserve"> Por peligro de obstaculización se entiende a toda circunstancia que permita sostener </w:t>
                        </w:r>
                        <w:proofErr w:type="spellStart"/>
                        <w:r w:rsidRPr="00AB7E85">
                          <w:rPr>
                            <w:rFonts w:ascii="Arial" w:eastAsia="Times New Roman" w:hAnsi="Arial" w:cs="Arial"/>
                            <w:sz w:val="21"/>
                            <w:szCs w:val="21"/>
                            <w:lang w:eastAsia="es-ES"/>
                          </w:rPr>
                          <w:t>fundamentadamente</w:t>
                        </w:r>
                        <w:proofErr w:type="spellEnd"/>
                        <w:r w:rsidRPr="00AB7E85">
                          <w:rPr>
                            <w:rFonts w:ascii="Arial" w:eastAsia="Times New Roman" w:hAnsi="Arial" w:cs="Arial"/>
                            <w:sz w:val="21"/>
                            <w:szCs w:val="21"/>
                            <w:lang w:eastAsia="es-ES"/>
                          </w:rPr>
                          <w:t xml:space="preserve">, que el imputado con su comportamiento entorpecerá la averiguación de la verdad. Para decidir acerca de su concurrencia se realizará una evaluación integral de las circunstancias existentes, teniendo especialmente en cuenta las siguientes: </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Que el imputado destruya, modifique, oculte, suprima, y/o falsifique, elementos de prueba;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Que el imputado influya negativamente sobre los partícipes, testigos o peritos, a objeto de que informen falsamente o se comporten de manera reticente;</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Que el imputado influya ilegal o ilegítimamente en magistrados del Tribunal Supremo, magistrados del Tribunal Constitucional Plurinacional, vocales, jueces técnicos, jueces ciudadanos, fiscales y/o en los funcionarios y empleados del sistema de administración de justicia.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Que el imputado induzca a otros a realizar las acciones descritas en los </w:t>
                              </w:r>
                              <w:r w:rsidRPr="00AB7E85">
                                <w:rPr>
                                  <w:rFonts w:ascii="Arial" w:eastAsia="Times New Roman" w:hAnsi="Arial" w:cs="Arial"/>
                                  <w:sz w:val="21"/>
                                  <w:szCs w:val="21"/>
                                  <w:lang w:eastAsia="es-ES"/>
                                </w:rPr>
                                <w:lastRenderedPageBreak/>
                                <w:t>numerales 1, 2 y 3 del presente Artículo.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lastRenderedPageBreak/>
                                <w:t xml:space="preserve">5.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Cualquier otra circunstancia debidamente acreditada que permita sostener fundadamente que el imputado, directa o indirectamente, obstaculizará la averiguación de la verdad.</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235 ter. (Resolución).</w:t>
                        </w:r>
                        <w:r w:rsidRPr="00AB7E85">
                          <w:rPr>
                            <w:rFonts w:ascii="Arial" w:eastAsia="Times New Roman" w:hAnsi="Arial" w:cs="Arial"/>
                            <w:sz w:val="21"/>
                            <w:szCs w:val="21"/>
                            <w:lang w:eastAsia="es-ES"/>
                          </w:rPr>
                          <w:t xml:space="preserve"> El juez atendiendo los argumentos y valorando los elementos probatorios ofrecidos por las partes, resolverá fundadamente disponiendo:</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1.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improcedencia de la solicitud;</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aplicación de la medida o medidas solicitadas;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aplicación de una medida o medidas menos graves que la solicitada; 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aplicación de una medida o medidas más graves que la solicitada e incluso la detención preventiva.</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239. (Cesación de la Detención Preventiva).</w:t>
                        </w:r>
                        <w:r w:rsidRPr="00AB7E85">
                          <w:rPr>
                            <w:rFonts w:ascii="Arial" w:eastAsia="Times New Roman" w:hAnsi="Arial" w:cs="Arial"/>
                            <w:sz w:val="21"/>
                            <w:szCs w:val="21"/>
                            <w:lang w:eastAsia="es-ES"/>
                          </w:rPr>
                          <w:t xml:space="preserve"> La detención preventiva cesará:</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Cuando nuevos elementos de juicio demuestren que no concurren los motivos que la fundaron o tornen conveniente que sea sustituida por otra medida;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Cuando su duración exceda el mínimo legal de la pena establecida para el delito más grave que se juzga; y</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3.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Cuando su duración exceda de dieciocho (18) meses sin que se haya dictado acusación o de treinta y seis (36) meses sin que se hubiera dictado sentencia.</w:t>
                              </w:r>
                            </w:p>
                          </w:tc>
                        </w:tr>
                      </w:tbl>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Vencidos los plazos previstos en los numerales 2) y 3), el juez o tribunal aplicará las medidas cautelares que correspondan previstas en el Artículo 240 de este Código, siempre que la demora no sea atribuible a los actos dilatorios del imputado.</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240. (Medidas Sustitutivas a la Detención Preventiva).</w:t>
                        </w:r>
                        <w:r w:rsidRPr="00AB7E85">
                          <w:rPr>
                            <w:rFonts w:ascii="Arial" w:eastAsia="Times New Roman" w:hAnsi="Arial" w:cs="Arial"/>
                            <w:sz w:val="21"/>
                            <w:szCs w:val="21"/>
                            <w:lang w:eastAsia="es-ES"/>
                          </w:rPr>
                          <w:t xml:space="preserve"> Cuando sea improcedente la detención preventiva y exista peligro de fuga u obstaculización del procedimiento, el juez o tribunal, mediante resolución fundamentada, podrá disponer la aplicación de una o más de las siguientes medidas sustitutivas: </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detención domiciliaria, en su propio domicilio o en el de otra persona, sin vigilancia alguna o con la que el tribunal disponga. Si el imputado no puede proveer a sus necesidades económicas o a las de su familia o si se encuentra en situación de indigencia, el juez podrá autorizar que se ausente durante la jornada laboral;</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Obligación de presentarse periódicamente ante el juez, tribunal o autoridad que se designe;</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Prohibición de salir del país, de la localidad en la cual reside o del ámbito territorial que fije el juez o tribunal, sin su autorización, ordenando el arraigo a las autoridades competentes;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Prohibición de concurrir a determinados lugares;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5.</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Prohibición de comunicarse con personas determinadas, siempre que no se </w:t>
                              </w:r>
                              <w:r w:rsidRPr="00AB7E85">
                                <w:rPr>
                                  <w:rFonts w:ascii="Arial" w:eastAsia="Times New Roman" w:hAnsi="Arial" w:cs="Arial"/>
                                  <w:sz w:val="21"/>
                                  <w:szCs w:val="21"/>
                                  <w:lang w:eastAsia="es-ES"/>
                                </w:rPr>
                                <w:lastRenderedPageBreak/>
                                <w:t>afecte su derecho de defensa; y</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lastRenderedPageBreak/>
                                <w:t>6.</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Fianza juratoria, personal o económica. La fianza económica podrá ser prestada por el imputado o por otra persona mediante depósito de dinero, valores, constitución de prenda o hipoteca.</w:t>
                              </w:r>
                            </w:p>
                          </w:tc>
                        </w:tr>
                      </w:tbl>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Al resolver la aplicación de las medidas enumeradas anteriormente, el juez o tribunal determinará las condiciones y reglas que deberá cumplir el imputado, con la expresa advertencia de que la comisión de un nuevo delito o el incumplimiento de las reglas impuestas, dará lugar a la revocatoria de la medida y su sustitución por otra más grave, incluso la detención preventiva citando esta sea procedente, pudiendo la víctima hacer uso de la palabra. </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242. (Fianza Juratoria).</w:t>
                        </w:r>
                        <w:r w:rsidRPr="00AB7E85">
                          <w:rPr>
                            <w:rFonts w:ascii="Arial" w:eastAsia="Times New Roman" w:hAnsi="Arial" w:cs="Arial"/>
                            <w:sz w:val="21"/>
                            <w:szCs w:val="21"/>
                            <w:lang w:eastAsia="es-ES"/>
                          </w:rPr>
                          <w:t xml:space="preserve"> La fianza juratoria procederá cuando sea previsible que el imputado </w:t>
                        </w:r>
                        <w:proofErr w:type="gramStart"/>
                        <w:r w:rsidRPr="00AB7E85">
                          <w:rPr>
                            <w:rFonts w:ascii="Arial" w:eastAsia="Times New Roman" w:hAnsi="Arial" w:cs="Arial"/>
                            <w:sz w:val="21"/>
                            <w:szCs w:val="21"/>
                            <w:lang w:eastAsia="es-ES"/>
                          </w:rPr>
                          <w:t>será</w:t>
                        </w:r>
                        <w:proofErr w:type="gramEnd"/>
                        <w:r w:rsidRPr="00AB7E85">
                          <w:rPr>
                            <w:rFonts w:ascii="Arial" w:eastAsia="Times New Roman" w:hAnsi="Arial" w:cs="Arial"/>
                            <w:sz w:val="21"/>
                            <w:szCs w:val="21"/>
                            <w:lang w:eastAsia="es-ES"/>
                          </w:rPr>
                          <w:t xml:space="preserve"> beneficiado con la suspensión condicional de la pena, el perdón judicial o cuando demuestre estado de pobreza que le imposibilite constituir fianza real o personal.</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El imputado beneficiado con esta medida deberá cumplir las siguientes obligaciones:</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Comparecer ante el fiscal o la autoridad judicial las veces que sea requerido;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Concurrir a toda actuación procesal que corresponda; y</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No cambiar el domicilio señalado a este efecto, para lo cual el imputado está obligado a presentar periódicamente el certificado de registro domiciliario expedido por autoridad competente, ni ausentarse del país sin previa autorización del juez o tribunal de la causa, quien dispondrá el arraigo correspondiente.</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243. (Fianza Personal).</w:t>
                        </w:r>
                        <w:r w:rsidRPr="00AB7E85">
                          <w:rPr>
                            <w:rFonts w:ascii="Arial" w:eastAsia="Times New Roman" w:hAnsi="Arial" w:cs="Arial"/>
                            <w:sz w:val="21"/>
                            <w:szCs w:val="21"/>
                            <w:lang w:eastAsia="es-ES"/>
                          </w:rPr>
                          <w:t xml:space="preserve"> La fianza personal consiste en la obligación que asumen dos o más personas solventes con patrimonios independientes, de presentar al imputado ante el juez que conoce el proceso las veces que sea requerido. </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En caso de incomparecencia del imputado, el fiador pagará la suma que a este efecto determine el juez, la que será suficiente para satisfacer los gastos de captura y las costas procesales.</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Cuando existan varios fiadores, asumirán la obligación solidariamente. </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Los fiadores no podrán presentar fianza personal a ningún otro imputado, mientras dure la fianza ofrecida y aceptada.</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El juez, a petición del fiador, podrá aceptar su sustitución.</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252. (Medidas Cautelares Reales).</w:t>
                        </w:r>
                        <w:r w:rsidRPr="00AB7E85">
                          <w:rPr>
                            <w:rFonts w:ascii="Arial" w:eastAsia="Times New Roman" w:hAnsi="Arial" w:cs="Arial"/>
                            <w:sz w:val="21"/>
                            <w:szCs w:val="21"/>
                            <w:lang w:eastAsia="es-ES"/>
                          </w:rPr>
                          <w:t xml:space="preserve"> Sin perjuicio de la hipoteca legal establecida por el Artículo 90 del </w:t>
                        </w:r>
                        <w:hyperlink r:id="rId8" w:history="1">
                          <w:r w:rsidRPr="00AB7E85">
                            <w:rPr>
                              <w:rFonts w:ascii="Arial" w:eastAsia="Times New Roman" w:hAnsi="Arial" w:cs="Arial"/>
                              <w:sz w:val="21"/>
                              <w:u w:val="single"/>
                              <w:lang w:eastAsia="es-ES"/>
                            </w:rPr>
                            <w:t>Código Penal</w:t>
                          </w:r>
                        </w:hyperlink>
                        <w:r w:rsidRPr="00AB7E85">
                          <w:rPr>
                            <w:rFonts w:ascii="Arial" w:eastAsia="Times New Roman" w:hAnsi="Arial" w:cs="Arial"/>
                            <w:sz w:val="21"/>
                            <w:szCs w:val="21"/>
                            <w:lang w:eastAsia="es-ES"/>
                          </w:rPr>
                          <w:t>, las medidas cautelares de carácter real serán dispuestas por el juez del proceso a petición de parte, para garantizar la reparación del daño y los perjuicios, así como el pago de costas o multas, a cuyo efecto se podrá solicitar el embargo de la fianza siempre que se trate de bienes propios del imputado.</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El trámite se regirá por el </w:t>
                        </w:r>
                        <w:hyperlink r:id="rId9" w:history="1">
                          <w:r w:rsidRPr="00AB7E85">
                            <w:rPr>
                              <w:rFonts w:ascii="Arial" w:eastAsia="Times New Roman" w:hAnsi="Arial" w:cs="Arial"/>
                              <w:sz w:val="21"/>
                              <w:u w:val="single"/>
                              <w:lang w:eastAsia="es-ES"/>
                            </w:rPr>
                            <w:t>Código de Procedimiento Civil</w:t>
                          </w:r>
                        </w:hyperlink>
                        <w:r w:rsidRPr="00AB7E85">
                          <w:rPr>
                            <w:rFonts w:ascii="Arial" w:eastAsia="Times New Roman" w:hAnsi="Arial" w:cs="Arial"/>
                            <w:sz w:val="21"/>
                            <w:szCs w:val="21"/>
                            <w:lang w:eastAsia="es-ES"/>
                          </w:rPr>
                          <w:t xml:space="preserve">, sin exigir </w:t>
                        </w:r>
                        <w:proofErr w:type="spellStart"/>
                        <w:r w:rsidRPr="00AB7E85">
                          <w:rPr>
                            <w:rFonts w:ascii="Arial" w:eastAsia="Times New Roman" w:hAnsi="Arial" w:cs="Arial"/>
                            <w:sz w:val="21"/>
                            <w:szCs w:val="21"/>
                            <w:lang w:eastAsia="es-ES"/>
                          </w:rPr>
                          <w:t>contracautela</w:t>
                        </w:r>
                        <w:proofErr w:type="spellEnd"/>
                        <w:r w:rsidRPr="00AB7E85">
                          <w:rPr>
                            <w:rFonts w:ascii="Arial" w:eastAsia="Times New Roman" w:hAnsi="Arial" w:cs="Arial"/>
                            <w:sz w:val="21"/>
                            <w:szCs w:val="21"/>
                            <w:lang w:eastAsia="es-ES"/>
                          </w:rPr>
                          <w:t xml:space="preserve"> a la víctima en ningún caso.</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La anotación preventiva de los bienes propios del imputado puede ser dispuesta directamente por el fiscal desde el primer momento de la investigación, a través de </w:t>
                        </w:r>
                        <w:r w:rsidRPr="00AB7E85">
                          <w:rPr>
                            <w:rFonts w:ascii="Arial" w:eastAsia="Times New Roman" w:hAnsi="Arial" w:cs="Arial"/>
                            <w:sz w:val="21"/>
                            <w:szCs w:val="21"/>
                            <w:lang w:eastAsia="es-ES"/>
                          </w:rPr>
                          <w:lastRenderedPageBreak/>
                          <w:t>resolución fundamentada, la que deberá ser informada al juez que ejerce control jurisdiccional en el plazo de veinticuatro (24) horas de haber sido efectivizada, debiendo el juez ratificar, modificar o revocar la medida en el plazo de tres (3) días de comunicada la misma.</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253. (Solicitud de Incautación).</w:t>
                        </w:r>
                        <w:r w:rsidRPr="00AB7E85">
                          <w:rPr>
                            <w:rFonts w:ascii="Arial" w:eastAsia="Times New Roman" w:hAnsi="Arial" w:cs="Arial"/>
                            <w:sz w:val="21"/>
                            <w:szCs w:val="21"/>
                            <w:lang w:eastAsia="es-ES"/>
                          </w:rPr>
                          <w:t xml:space="preserve"> La incautación se aplicará sobre el patrimonio, los medios e instrumentos para la comisión o financiamiento del delito, que pertenecieren a los imputados o posibles instigadores y cómplices de las conductas calificadas por el fiscal.</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En conocimiento del hecho por cualesquiera de las formas de inicio de la investigación penal, el fiscal dentro del plazo de las diligencias preliminares por la supuesta comisión del delito o ante la flagrancia prevista en el Artículo 230 de la </w:t>
                        </w:r>
                        <w:hyperlink r:id="rId10" w:history="1">
                          <w:r w:rsidRPr="00AB7E85">
                            <w:rPr>
                              <w:rFonts w:ascii="Arial" w:eastAsia="Times New Roman" w:hAnsi="Arial" w:cs="Arial"/>
                              <w:sz w:val="21"/>
                              <w:u w:val="single"/>
                              <w:lang w:eastAsia="es-ES"/>
                            </w:rPr>
                            <w:t>Ley Nº 1970</w:t>
                          </w:r>
                        </w:hyperlink>
                        <w:r w:rsidRPr="00AB7E85">
                          <w:rPr>
                            <w:rFonts w:ascii="Arial" w:eastAsia="Times New Roman" w:hAnsi="Arial" w:cs="Arial"/>
                            <w:sz w:val="21"/>
                            <w:szCs w:val="21"/>
                            <w:lang w:eastAsia="es-ES"/>
                          </w:rPr>
                          <w:t>, requerirá ante el juez de instrucción, la incautación del patrimonio, medios e instrumentos que pertenecieran a los imputados, posibles instigadores y cómplices de las conductas calificadas como delito.</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El fiscal deberá requerir ante el juez de instrucción, la </w:t>
                        </w:r>
                        <w:proofErr w:type="spellStart"/>
                        <w:r w:rsidRPr="00AB7E85">
                          <w:rPr>
                            <w:rFonts w:ascii="Arial" w:eastAsia="Times New Roman" w:hAnsi="Arial" w:cs="Arial"/>
                            <w:sz w:val="21"/>
                            <w:szCs w:val="21"/>
                            <w:lang w:eastAsia="es-ES"/>
                          </w:rPr>
                          <w:t>retensión</w:t>
                        </w:r>
                        <w:proofErr w:type="spellEnd"/>
                        <w:r w:rsidRPr="00AB7E85">
                          <w:rPr>
                            <w:rFonts w:ascii="Arial" w:eastAsia="Times New Roman" w:hAnsi="Arial" w:cs="Arial"/>
                            <w:sz w:val="21"/>
                            <w:szCs w:val="21"/>
                            <w:lang w:eastAsia="es-ES"/>
                          </w:rPr>
                          <w:t xml:space="preserve"> de fondos en cuentas bancarias y/o entidades financieras nacionales y extranjeras que pertenezcan a los imputados, posibles instigadores y cómplices, así como solicitar un informe de rendimiento bancario financiero que estos hayan realizado en los últimos doce meses. </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Los bienes muebles e inmuebles quedaran bajo custodia de la Dirección de Registro, Control y Administración de Bienes Incautados – DIRCABI.</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En el caso de encontrarse sustancias controladas en avionetas, lanchas y vehículos automotores, se procederá a la confiscación de aquellos bienes y su entrega inmediata a la Dirección de Registro, Control y Administración de Bienes Incautados – DIRCABI, entidad que luego del registro e informe técnico pericial, procederá a la entrega definitiva a las Fuerzas Armadas en el caso de avionetas y lanchas, y al Ministerio Público u otras instituciones públicas en el caso de vehículos automotores para que queden bajo su administración y custodia.</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300. (Término de la Investigación Preliminar).</w:t>
                        </w:r>
                        <w:r w:rsidRPr="00AB7E85">
                          <w:rPr>
                            <w:rFonts w:ascii="Arial" w:eastAsia="Times New Roman" w:hAnsi="Arial" w:cs="Arial"/>
                            <w:sz w:val="21"/>
                            <w:szCs w:val="21"/>
                            <w:lang w:eastAsia="es-ES"/>
                          </w:rPr>
                          <w:t xml:space="preserve"> Las investigaciones preliminares efectuadas por la Policía, deberán concluir en el plazo máximo de veinte (20) días de iniciada la prevención. Dentro de las veinticuatro (24) horas siguientes, la Policía remitirá a la Fiscalía los antecedentes y objetos secuestrados, salvo que el fiscal disponga en cualquier momento su remisión.</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301. (Estudio de las Actuaciones Policiales).</w:t>
                        </w:r>
                        <w:r w:rsidRPr="00AB7E85">
                          <w:rPr>
                            <w:rFonts w:ascii="Arial" w:eastAsia="Times New Roman" w:hAnsi="Arial" w:cs="Arial"/>
                            <w:sz w:val="21"/>
                            <w:szCs w:val="21"/>
                            <w:lang w:eastAsia="es-ES"/>
                          </w:rPr>
                          <w:t xml:space="preserve"> Recibidas las actuaciones policiales, el fiscal analizará su contenido para:</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Imputar formalmente el delito atribuido, si se encuentran reunidos los requisitos legales.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Ordenar la complementación de las diligencias policiales, fijando un plazo razonable que no excederá de noventa (90) días, salvo investigaciones complejas siendo obligatoria la comunicación de la prorroga al juez de instrucción.</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3.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Disponer el rechazo de la denuncia, la querella o las actuaciones policiales y, en consecuencia su archivo; y</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Solicitar al juez de instrucción la suspensión condicional del proceso, la aplicación de un criterio de oportunidad, la sustanciación del procedimiento abreviado o la conciliación.</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lastRenderedPageBreak/>
                                <w:t>El plazo establecido en el Artículo 134 del presente Código, comenzará a correr desde la última notificación con la imputación al o los imputados.</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321. (Efectos de la Excusa y Recusación).</w:t>
                        </w:r>
                        <w:r w:rsidRPr="00AB7E85">
                          <w:rPr>
                            <w:rFonts w:ascii="Arial" w:eastAsia="Times New Roman" w:hAnsi="Arial" w:cs="Arial"/>
                            <w:sz w:val="21"/>
                            <w:szCs w:val="21"/>
                            <w:lang w:eastAsia="es-ES"/>
                          </w:rPr>
                          <w:t xml:space="preserve"> Producida la excusa o promovida la recusación, el juez no podrá realizar en el proceso ningún acto, bajo sanción de nulidad. Aceptada la excusa o la recusación, la separación del juez será definitiva aunque posteriormente desaparezcan las causales que las determinaron.</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Las excusas y recusaciones deberán ser rechazadas in </w:t>
                        </w:r>
                        <w:proofErr w:type="spellStart"/>
                        <w:r w:rsidRPr="00AB7E85">
                          <w:rPr>
                            <w:rFonts w:ascii="Arial" w:eastAsia="Times New Roman" w:hAnsi="Arial" w:cs="Arial"/>
                            <w:sz w:val="21"/>
                            <w:szCs w:val="21"/>
                            <w:lang w:eastAsia="es-ES"/>
                          </w:rPr>
                          <w:t>limine</w:t>
                        </w:r>
                        <w:proofErr w:type="spellEnd"/>
                        <w:r w:rsidRPr="00AB7E85">
                          <w:rPr>
                            <w:rFonts w:ascii="Arial" w:eastAsia="Times New Roman" w:hAnsi="Arial" w:cs="Arial"/>
                            <w:sz w:val="21"/>
                            <w:szCs w:val="21"/>
                            <w:lang w:eastAsia="es-ES"/>
                          </w:rPr>
                          <w:t xml:space="preserve"> cuando:</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6047"/>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1. </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No sea causal sobreviniente;</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Sea manifiestamente improcedente;</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Se presente sin prueba en los casos que sea necesario; 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Habiendo sido rechazada, sea reiterada en los mismos términos.</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323. (Actos Conclusivos).</w:t>
                        </w:r>
                        <w:r w:rsidRPr="00AB7E85">
                          <w:rPr>
                            <w:rFonts w:ascii="Arial" w:eastAsia="Times New Roman" w:hAnsi="Arial" w:cs="Arial"/>
                            <w:sz w:val="21"/>
                            <w:szCs w:val="21"/>
                            <w:lang w:eastAsia="es-ES"/>
                          </w:rPr>
                          <w:t xml:space="preserve"> Cuando el fiscal concluya la investigación:</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Presentará ante el juez de instrucción la acusación si estima que la investigación proporciona fundamento para el enjuiciamiento público del imputado;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Requerirá ante el juez de instrucción, la suspensión condicional del proceso, la aplicación del procedimiento abreviado o de un criterio de oportunidad o que se promueva la conciliación;</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Decretará de manera fundamentada el sobreseimiento, cuando resulte evidente que el hecho no existió, que no constituye delito o que el imputado no participó en él, y cuando estime que los elementos de prueba son insuficientes para fundamentar la acusación.</w:t>
                              </w:r>
                            </w:p>
                          </w:tc>
                        </w:tr>
                      </w:tbl>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En los casos previstos en los numerales 1) y 2), remitirá al juez o tribunal las actuaciones y evidencias.</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325. (Audiencia Conclusiva).</w:t>
                        </w:r>
                        <w:r w:rsidRPr="00AB7E85">
                          <w:rPr>
                            <w:rFonts w:ascii="Arial" w:eastAsia="Times New Roman" w:hAnsi="Arial" w:cs="Arial"/>
                            <w:sz w:val="21"/>
                            <w:szCs w:val="21"/>
                            <w:lang w:eastAsia="es-ES"/>
                          </w:rPr>
                          <w:t xml:space="preserve"> Presentado el requerimiento conclusivo en el caso de los numerales 1) y 2) del Artículo 323 de este Código, el juez, dentro de las veinticuatro (24) horas siguientes, convocará a las partes a una audiencia oral y pública que deberá realizarse en un plazo no menor de seis (6) ni mayor de veinte (20) días, computables a partir de la notificación con la convocatoria.</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Notificada la convocatoria, las partes tendrán un plazo común de cinco (5) días para examinar el requerimiento conclusivo, las actuaciones y evidencias reunidas en la investigación y para ofrecer los medios de prueba necesarios.</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En la audiencia las partes podrán:</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Observar la acusación fiscal o particular por defectos formales, requiriendo su corrección;</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b)</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Deducir excepciones e incidentes, cuando no hayan sido planteadas con anterioridad o se funden en hechos nuevos;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c)</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Pedir la resolución de excepciones e incidentes pendientes;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d)</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Plantear incidentes de exclusión probatoria u observaciones a la admisibilidad de la prueba, a cuyo efecto las partes deberán presentar la </w:t>
                              </w:r>
                              <w:r w:rsidRPr="00AB7E85">
                                <w:rPr>
                                  <w:rFonts w:ascii="Arial" w:eastAsia="Times New Roman" w:hAnsi="Arial" w:cs="Arial"/>
                                  <w:sz w:val="21"/>
                                  <w:szCs w:val="21"/>
                                  <w:lang w:eastAsia="es-ES"/>
                                </w:rPr>
                                <w:lastRenderedPageBreak/>
                                <w:t>prueba documental y material ofrecida en la acusación;</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lastRenderedPageBreak/>
                                <w:t>e)</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Proponer los hechos sobre los que no existe controversia y que el juez dará por acreditados, obviando la actuación probatoria en el juicio. Asimismo, podrán proponer acuerdos acerca de los medios de prueba que serán necesarios para que determinados hechos se estimen probados. El juez de instrucción, sin embargo, exponiendo los motivos que lo justifiquen, podrá desvincularse de esos acuerdos. </w:t>
                              </w:r>
                            </w:p>
                          </w:tc>
                        </w:tr>
                      </w:tbl>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La audiencia será dirigida por el juez de instrucción y durante su realización no se admitirá la presentación ni lectura de escritos. Instalada la audiencia, el juez de instrucción otorgará la palabra por un tiempo breve y por su orden al fiscal, al acusador particular y a la defensa, los que debatirán sobre la procedencia o admisibilidad de las cuestiones planteadas y la pertinencia de la prueba ofrecida.</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El fiscal en la misma audiencia, podrá aclar.ar o corregir la acusación. Si la corrección requiere mayor análisis del Ministerio Público, el juez dispondrá la devolución de la acusación y suspenderá la audiencia por cinco (5) días para su nuevo requerimiento. Si no existen más observaciones, se tendrá por saneada.</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392. (Juzgamiento de Jueces).</w:t>
                        </w:r>
                        <w:r w:rsidRPr="00AB7E85">
                          <w:rPr>
                            <w:rFonts w:ascii="Arial" w:eastAsia="Times New Roman" w:hAnsi="Arial" w:cs="Arial"/>
                            <w:sz w:val="21"/>
                            <w:szCs w:val="21"/>
                            <w:lang w:eastAsia="es-ES"/>
                          </w:rPr>
                          <w:t xml:space="preserve"> Los jueces serán juzgados de conformidad al procedimiento común. Solo serán suspendidos de su cargo por el Consejo de la Judicatura, cuando sean formalmente imputados ante el juez de instrucción."</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5000" w:type="pct"/>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bl>
                  <w:tblPr>
                    <w:tblW w:w="5000" w:type="pct"/>
                    <w:tblCellSpacing w:w="0" w:type="dxa"/>
                    <w:tblCellMar>
                      <w:left w:w="0" w:type="dxa"/>
                      <w:right w:w="0" w:type="dxa"/>
                    </w:tblCellMar>
                    <w:tblLook w:val="04A0"/>
                  </w:tblPr>
                  <w:tblGrid>
                    <w:gridCol w:w="7200"/>
                    <w:gridCol w:w="1304"/>
                  </w:tblGrid>
                  <w:tr w:rsidR="00AB7E85" w:rsidRPr="00AB7E85">
                    <w:trPr>
                      <w:tblCellSpacing w:w="0" w:type="dxa"/>
                    </w:trPr>
                    <w:tc>
                      <w:tcPr>
                        <w:tcW w:w="7200" w:type="dxa"/>
                        <w:vAlign w:val="center"/>
                        <w:hideMark/>
                      </w:tcPr>
                      <w:p w:rsidR="00AB7E85" w:rsidRPr="00AB7E85" w:rsidRDefault="00AB7E85" w:rsidP="00AB7E85">
                        <w:pPr>
                          <w:spacing w:after="0" w:line="240" w:lineRule="auto"/>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ARTÍCULO 2. (Procedimiento Inmediato para Delitos Flagrantes).</w:t>
                        </w:r>
                      </w:p>
                    </w:tc>
                    <w:tc>
                      <w:tcPr>
                        <w:tcW w:w="0" w:type="auto"/>
                        <w:hideMark/>
                      </w:tcPr>
                      <w:p w:rsidR="00AB7E85" w:rsidRPr="00AB7E85" w:rsidRDefault="00AB7E85" w:rsidP="00AB7E85">
                        <w:pPr>
                          <w:spacing w:after="0" w:line="240" w:lineRule="auto"/>
                          <w:jc w:val="right"/>
                          <w:rPr>
                            <w:rFonts w:ascii="Arial" w:eastAsia="Times New Roman" w:hAnsi="Arial" w:cs="Arial"/>
                            <w:sz w:val="21"/>
                            <w:szCs w:val="21"/>
                            <w:lang w:eastAsia="es-ES"/>
                          </w:rPr>
                        </w:pPr>
                        <w:r w:rsidRPr="00AB7E85">
                          <w:rPr>
                            <w:rFonts w:ascii="Arial" w:eastAsia="Times New Roman" w:hAnsi="Arial" w:cs="Arial"/>
                            <w:noProof/>
                            <w:sz w:val="21"/>
                            <w:szCs w:val="21"/>
                            <w:lang w:eastAsia="es-ES"/>
                          </w:rPr>
                          <w:drawing>
                            <wp:inline distT="0" distB="0" distL="0" distR="0">
                              <wp:extent cx="180975" cy="180975"/>
                              <wp:effectExtent l="19050" t="0" r="9525" b="0"/>
                              <wp:docPr id="11" name="Imagen 11" descr="Referencia">
                                <a:hlinkClick xmlns:a="http://schemas.openxmlformats.org/drawingml/2006/main" r:id="rId11" tooltip="Refer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ferencia">
                                        <a:hlinkClick r:id="rId11" tooltip="Referencia"/>
                                      </pic:cNvPr>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2" name="Imagen 12" descr="Fundamentación">
                                <a:hlinkClick xmlns:a="http://schemas.openxmlformats.org/drawingml/2006/main" r:id="rId11" tooltip="Fundamentació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undamentación">
                                        <a:hlinkClick r:id="rId11" tooltip="Fundamentación"/>
                                      </pic:cNvPr>
                                      <pic:cNvPicPr>
                                        <a:picLocks noChangeAspect="1" noChangeArrowheads="1"/>
                                      </pic:cNvPicPr>
                                    </pic:nvPicPr>
                                    <pic:blipFill>
                                      <a:blip r:embed="rId13"/>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3" name="Imagen 13" descr="Vigencia">
                                <a:hlinkClick xmlns:a="http://schemas.openxmlformats.org/drawingml/2006/main" r:id="rId11" tooltip="Vig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igencia">
                                        <a:hlinkClick r:id="rId11" tooltip="Vigencia"/>
                                      </pic:cNvPr>
                                      <pic:cNvPicPr>
                                        <a:picLocks noChangeAspect="1" noChangeArrowheads="1"/>
                                      </pic:cNvPicPr>
                                    </pic:nvPicPr>
                                    <pic:blipFill>
                                      <a:blip r:embed="rId14"/>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4" name="Imagen 14" descr="Concordancia">
                                <a:hlinkClick xmlns:a="http://schemas.openxmlformats.org/drawingml/2006/main" r:id="rId11" tooltip="Concorda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ncordancia">
                                        <a:hlinkClick r:id="rId11" tooltip="Concordancia"/>
                                      </pic:cNvPr>
                                      <pic:cNvPicPr>
                                        <a:picLocks noChangeAspect="1" noChangeArrowheads="1"/>
                                      </pic:cNvPicPr>
                                    </pic:nvPicPr>
                                    <pic:blipFill>
                                      <a:blip r:embed="rId15"/>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5" name="Imagen 15" descr="Reglamentos">
                                <a:hlinkClick xmlns:a="http://schemas.openxmlformats.org/drawingml/2006/main" r:id="rId11" tooltip="Reglamento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glamentos">
                                        <a:hlinkClick r:id="rId11" tooltip="Reglamentos"/>
                                      </pic:cNvPr>
                                      <pic:cNvPicPr>
                                        <a:picLocks noChangeAspect="1" noChangeArrowheads="1"/>
                                      </pic:cNvPicPr>
                                    </pic:nvPicPr>
                                    <pic:blipFill>
                                      <a:blip r:embed="rId16"/>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6" name="Imagen 16" descr="Precedente">
                                <a:hlinkClick xmlns:a="http://schemas.openxmlformats.org/drawingml/2006/main" r:id="rId11" tooltip="Preceden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recedente">
                                        <a:hlinkClick r:id="rId11" tooltip="Precedente"/>
                                      </pic:cNvPr>
                                      <pic:cNvPicPr>
                                        <a:picLocks noChangeAspect="1" noChangeArrowheads="1"/>
                                      </pic:cNvPicPr>
                                    </pic:nvPicPr>
                                    <pic:blipFill>
                                      <a:blip r:embed="rId17"/>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7" name="Imagen 17" descr="Notas al artículo">
                                <a:hlinkClick xmlns:a="http://schemas.openxmlformats.org/drawingml/2006/main" r:id="rId11" tooltip="Notas al artículo"/>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otas al artículo">
                                        <a:hlinkClick r:id="rId11" tooltip="Notas al artículo"/>
                                      </pic:cNvPr>
                                      <pic:cNvPicPr>
                                        <a:picLocks noChangeAspect="1" noChangeArrowheads="1"/>
                                      </pic:cNvPicPr>
                                    </pic:nvPicPr>
                                    <pic:blipFill>
                                      <a:blip r:embed="rId1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8" name="Imagen 18" descr="Jurisprudencia">
                                <a:hlinkClick xmlns:a="http://schemas.openxmlformats.org/drawingml/2006/main" r:id="rId11" tooltip="Jurisprud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Jurisprudencia">
                                        <a:hlinkClick r:id="rId11" tooltip="Jurisprudencia"/>
                                      </pic:cNvPr>
                                      <pic:cNvPicPr>
                                        <a:picLocks noChangeAspect="1" noChangeArrowheads="1"/>
                                      </pic:cNvPicPr>
                                    </pic:nvPicPr>
                                    <pic:blipFill>
                                      <a:blip r:embed="rId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19" name="Imagen 19" descr="Doctrina">
                                <a:hlinkClick xmlns:a="http://schemas.openxmlformats.org/drawingml/2006/main" r:id="rId11" tooltip="Doctrin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ctrina">
                                        <a:hlinkClick r:id="rId11" tooltip="Doctrina"/>
                                      </pic:cNvPr>
                                      <pic:cNvPicPr>
                                        <a:picLocks noChangeAspect="1" noChangeArrowheads="1"/>
                                      </pic:cNvPicPr>
                                    </pic:nvPicPr>
                                    <pic:blipFill>
                                      <a:blip r:embed="rId2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0" name="Imagen 20" descr="Mis Apuntes">
                                <a:hlinkClick xmlns:a="http://schemas.openxmlformats.org/drawingml/2006/main" r:id="rId11" tooltip="Mis Apunte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is Apuntes">
                                        <a:hlinkClick r:id="rId11" tooltip="Mis Apuntes"/>
                                      </pic:cNvPr>
                                      <pic:cNvPicPr>
                                        <a:picLocks noChangeAspect="1" noChangeArrowheads="1"/>
                                      </pic:cNvPicPr>
                                    </pic:nvPicPr>
                                    <pic:blipFill>
                                      <a:blip r:embed="rId21"/>
                                      <a:srcRect/>
                                      <a:stretch>
                                        <a:fillRect/>
                                      </a:stretch>
                                    </pic:blipFill>
                                    <pic:spPr bwMode="auto">
                                      <a:xfrm>
                                        <a:off x="0" y="0"/>
                                        <a:ext cx="180975" cy="180975"/>
                                      </a:xfrm>
                                      <a:prstGeom prst="rect">
                                        <a:avLst/>
                                      </a:prstGeom>
                                      <a:noFill/>
                                      <a:ln w="9525">
                                        <a:noFill/>
                                        <a:miter lim="800000"/>
                                        <a:headEnd/>
                                        <a:tailEnd/>
                                      </a:ln>
                                    </pic:spPr>
                                  </pic:pic>
                                </a:graphicData>
                              </a:graphic>
                            </wp:inline>
                          </w:drawing>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br/>
                    <w:t xml:space="preserve">Se agrega el Título V al Libro Segundo "Procedimientos Especiales y Modificaciones al Procedimiento Común", de la Segunda Parte "Procedimientos" de la </w:t>
                  </w:r>
                  <w:hyperlink r:id="rId22" w:history="1">
                    <w:r w:rsidRPr="00AB7E85">
                      <w:rPr>
                        <w:rFonts w:ascii="Arial" w:eastAsia="Times New Roman" w:hAnsi="Arial" w:cs="Arial"/>
                        <w:sz w:val="21"/>
                        <w:u w:val="single"/>
                        <w:lang w:eastAsia="es-ES"/>
                      </w:rPr>
                      <w:t>Ley Nº 1970</w:t>
                    </w:r>
                  </w:hyperlink>
                  <w:r w:rsidRPr="00AB7E85">
                    <w:rPr>
                      <w:rFonts w:ascii="Arial" w:eastAsia="Times New Roman" w:hAnsi="Arial" w:cs="Arial"/>
                      <w:sz w:val="21"/>
                      <w:szCs w:val="21"/>
                      <w:lang w:eastAsia="es-ES"/>
                    </w:rPr>
                    <w:t xml:space="preserve"> de 25 de marzo de 1999, del </w:t>
                  </w:r>
                  <w:hyperlink r:id="rId23" w:history="1">
                    <w:r w:rsidRPr="00AB7E85">
                      <w:rPr>
                        <w:rFonts w:ascii="Arial" w:eastAsia="Times New Roman" w:hAnsi="Arial" w:cs="Arial"/>
                        <w:sz w:val="21"/>
                        <w:u w:val="single"/>
                        <w:lang w:eastAsia="es-ES"/>
                      </w:rPr>
                      <w:t>Código de Procedimiento Penal</w:t>
                    </w:r>
                  </w:hyperlink>
                  <w:r w:rsidRPr="00AB7E85">
                    <w:rPr>
                      <w:rFonts w:ascii="Arial" w:eastAsia="Times New Roman" w:hAnsi="Arial" w:cs="Arial"/>
                      <w:sz w:val="21"/>
                      <w:szCs w:val="21"/>
                      <w:lang w:eastAsia="es-ES"/>
                    </w:rPr>
                    <w:t xml:space="preserve">, con sus modificaciones posteriores, quedando redactado con el siguiente texto: </w:t>
                  </w:r>
                </w:p>
                <w:tbl>
                  <w:tblPr>
                    <w:tblW w:w="5000" w:type="pct"/>
                    <w:tblCellSpacing w:w="0" w:type="dxa"/>
                    <w:tblCellMar>
                      <w:left w:w="0" w:type="dxa"/>
                      <w:right w:w="0" w:type="dxa"/>
                    </w:tblCellMar>
                    <w:tblLook w:val="04A0"/>
                  </w:tblPr>
                  <w:tblGrid>
                    <w:gridCol w:w="585"/>
                    <w:gridCol w:w="7919"/>
                  </w:tblGrid>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before="100" w:beforeAutospacing="1" w:after="100" w:afterAutospacing="1" w:line="240" w:lineRule="auto"/>
                          <w:jc w:val="center"/>
                          <w:rPr>
                            <w:rFonts w:ascii="Arial" w:eastAsia="Times New Roman" w:hAnsi="Arial" w:cs="Arial"/>
                            <w:b/>
                            <w:bCs/>
                            <w:sz w:val="21"/>
                            <w:szCs w:val="21"/>
                            <w:lang w:eastAsia="es-ES"/>
                          </w:rPr>
                        </w:pPr>
                        <w:r w:rsidRPr="00AB7E85">
                          <w:rPr>
                            <w:rFonts w:ascii="Arial" w:eastAsia="Times New Roman" w:hAnsi="Arial" w:cs="Arial"/>
                            <w:b/>
                            <w:bCs/>
                            <w:sz w:val="21"/>
                            <w:szCs w:val="21"/>
                            <w:lang w:eastAsia="es-ES"/>
                          </w:rPr>
                          <w:t>“TÍTULO V</w:t>
                        </w:r>
                        <w:r w:rsidRPr="00AB7E85">
                          <w:rPr>
                            <w:rFonts w:ascii="Arial" w:eastAsia="Times New Roman" w:hAnsi="Arial" w:cs="Arial"/>
                            <w:b/>
                            <w:bCs/>
                            <w:sz w:val="21"/>
                            <w:szCs w:val="21"/>
                            <w:lang w:eastAsia="es-ES"/>
                          </w:rPr>
                          <w:br/>
                        </w:r>
                        <w:r w:rsidRPr="00AB7E85">
                          <w:rPr>
                            <w:rFonts w:ascii="Arial" w:eastAsia="Times New Roman" w:hAnsi="Arial" w:cs="Arial"/>
                            <w:b/>
                            <w:bCs/>
                            <w:sz w:val="21"/>
                            <w:szCs w:val="21"/>
                            <w:lang w:eastAsia="es-ES"/>
                          </w:rPr>
                          <w:br/>
                          <w:t>PROCEDIMIENTO INMEDIATO PARA DELITOS FLAGRANTES</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393 bis. (Procedencia).</w:t>
                        </w:r>
                        <w:r w:rsidRPr="00AB7E85">
                          <w:rPr>
                            <w:rFonts w:ascii="Arial" w:eastAsia="Times New Roman" w:hAnsi="Arial" w:cs="Arial"/>
                            <w:sz w:val="21"/>
                            <w:szCs w:val="21"/>
                            <w:lang w:eastAsia="es-ES"/>
                          </w:rPr>
                          <w:t xml:space="preserve"> En la resolución de imputación formal, el fiscal podrá solicitar al juez de instrucción la aplicación del procedimiento inmediato para delitos flagrantes conforme a las normas del presente Título, cuando el imputado sea sorprendido o aprehendido en la comisión de un delito en flagrancia.</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Si se trata de una causa seguida contra varios imputados, solo será posible si todos se encuentran en la situación prevista en el párrafo anterior y estén implicados en el mismo hecho.</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Los delitos conexos en los que estén involucrados otros imputados no se acumularán al procedimiento inmediato por flagrancia.</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393 ter. (Audiencia).</w:t>
                        </w:r>
                        <w:r w:rsidRPr="00AB7E85">
                          <w:rPr>
                            <w:rFonts w:ascii="Arial" w:eastAsia="Times New Roman" w:hAnsi="Arial" w:cs="Arial"/>
                            <w:sz w:val="21"/>
                            <w:szCs w:val="21"/>
                            <w:lang w:eastAsia="es-ES"/>
                          </w:rPr>
                          <w:t xml:space="preserve"> En audiencia oral el juez de instrucción escuchará al fiscal, al imputado y su defensor, a la víctima o al querellante, verificará el cumplimiento de las condiciones de procedencia previstas en el Artículo precedente y resolverá sobre la aplicación del procedimiento.</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Si el juez acepta la aplicación del procedimiento inmediato por flagrancia, en la </w:t>
                        </w:r>
                        <w:r w:rsidRPr="00AB7E85">
                          <w:rPr>
                            <w:rFonts w:ascii="Arial" w:eastAsia="Times New Roman" w:hAnsi="Arial" w:cs="Arial"/>
                            <w:sz w:val="21"/>
                            <w:szCs w:val="21"/>
                            <w:lang w:eastAsia="es-ES"/>
                          </w:rPr>
                          <w:lastRenderedPageBreak/>
                          <w:t>misma audiencia el fiscal podrá:</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1.</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Solicitar la aplicación de una salida alternativa, incluyendo el procedimiento abreviado cuando concurran los requisitos previstos en este Código;</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2.</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Si requiere realizar actos de investigación o de recuperación de evidencia complementarios, solicitará al juez el plazo que considere necesario, que no podrá exceder de cuarenta y cinco (45) días. El juez resolverá sobre el pedido del fiscal, previa intervención de la víctima y de la defensa;</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3.</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Si considera que cuenta con suficientes elementos de convicción, presentará la acusación y ofrecerá la prueba en la misma audiencia. El querellante podrá adherirse a la acusación del fiscal o acusar particularmente en la misma audiencia y ofrecerá su prueba de cargo. La acusación pública, y en su caso la acusación particular, se pondrán en conocimiento del imputado en la misma audiencia, para que en el plazo máximo de cinco (5) días ofrezca su prueba de descargo. Vencido este plazo, inmediatamente el juez de instrucción señalará día y hora de audiencia de preparación de juicio, misma que se realizará dentro de los tres (3) días siguientes. No obstante, a pedido fundamentado de la defensa, el juez podrá ampliar el plazo para la presentación de la prueba de descargo por el término máximo de cuarenta y cinco (45) días.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4.</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Solicitar la detención preventiva del imputado, cuando concurra alguno de los requisitos establecidos en el Artículo 233 del presente Código, para garantizar su presencia en el juicio. La solicitud no podrá ser denegada por el juez de instrucción, salvo los casos de improcedencia de la detención preventiva.</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Las resoluciones que el juez dictare respecto a los numerales 2 y 3 en conformidad a lo dispuesto en este Artículo, no serán susceptibles de recurso alguno. </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Artículo 393 </w:t>
                        </w:r>
                        <w:proofErr w:type="spellStart"/>
                        <w:r w:rsidRPr="00AB7E85">
                          <w:rPr>
                            <w:rFonts w:ascii="Arial" w:eastAsia="Times New Roman" w:hAnsi="Arial" w:cs="Arial"/>
                            <w:b/>
                            <w:bCs/>
                            <w:sz w:val="21"/>
                            <w:szCs w:val="21"/>
                            <w:lang w:eastAsia="es-ES"/>
                          </w:rPr>
                          <w:t>quater</w:t>
                        </w:r>
                        <w:proofErr w:type="spellEnd"/>
                        <w:r w:rsidRPr="00AB7E85">
                          <w:rPr>
                            <w:rFonts w:ascii="Arial" w:eastAsia="Times New Roman" w:hAnsi="Arial" w:cs="Arial"/>
                            <w:b/>
                            <w:bCs/>
                            <w:sz w:val="21"/>
                            <w:szCs w:val="21"/>
                            <w:lang w:eastAsia="es-ES"/>
                          </w:rPr>
                          <w:t>. (Audiencia de Preparación de Juicio Inmediato).</w:t>
                        </w:r>
                        <w:r w:rsidRPr="00AB7E85">
                          <w:rPr>
                            <w:rFonts w:ascii="Arial" w:eastAsia="Times New Roman" w:hAnsi="Arial" w:cs="Arial"/>
                            <w:sz w:val="21"/>
                            <w:szCs w:val="21"/>
                            <w:lang w:eastAsia="es-ES"/>
                          </w:rPr>
                          <w:t xml:space="preserve"> En la audiencia de preparación de juicio, las partes podrán:</w:t>
                        </w:r>
                      </w:p>
                    </w:tc>
                  </w:tr>
                  <w:tr w:rsidR="00AB7E85" w:rsidRPr="00AB7E85" w:rsidT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tbl>
                        <w:tblPr>
                          <w:tblW w:w="0" w:type="auto"/>
                          <w:tblCellSpacing w:w="0" w:type="dxa"/>
                          <w:tblCellMar>
                            <w:left w:w="0" w:type="dxa"/>
                            <w:right w:w="0" w:type="dxa"/>
                          </w:tblCellMar>
                          <w:tblLook w:val="04A0"/>
                        </w:tblPr>
                        <w:tblGrid>
                          <w:gridCol w:w="675"/>
                          <w:gridCol w:w="7244"/>
                        </w:tblGrid>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Observar la acusación fiscal o particular por defectos formales, requiriendo su corrección;</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b)</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Deducir excepciones y otros medios de defensa, cuando no hayan sido planteadas con anterioridad o se funden en hechos nuevos;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c)</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Plantear incidentes de exclusión, probatoria u observaciones a la admisibilidad de la prueba, a cuyo efecto las partes deberán presentar la prueba documental y material ofrecida en la acusación;</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d)</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Proponer los hechos sobre los que no existe controversia y que el juez dará por acreditados, obviando la actuación probatoria en el Juicio. Asimismo, podrán proponer acuerdos acerca de los medios de prueba que serán necesarios para que determinados hechos se estimen probados. El juez de instrucción, sin embargo, exponiendo los motivos que lo justifiquen, podrá desvincularse de esos acuerdos;</w:t>
                              </w:r>
                            </w:p>
                          </w:tc>
                        </w:tr>
                        <w:tr w:rsidR="00AB7E85" w:rsidRPr="00AB7E85">
                          <w:trPr>
                            <w:tblCellSpacing w:w="0" w:type="dxa"/>
                          </w:trPr>
                          <w:tc>
                            <w:tcPr>
                              <w:tcW w:w="675" w:type="dxa"/>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e)</w:t>
                              </w: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Plantear cualquier otra cuestión o incidente que tienda a preparar mejor el juicio.</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 xml:space="preserve">La audiencia será dirigida por el juez de instrucción y durante su realización no se admitirá la presentación ni lectura de escritos. Instalada la audiencia, el juez de instrucción otorgará la palabra por un tiempo breve y por su orden al fiscal, al </w:t>
                        </w:r>
                        <w:r w:rsidRPr="00AB7E85">
                          <w:rPr>
                            <w:rFonts w:ascii="Arial" w:eastAsia="Times New Roman" w:hAnsi="Arial" w:cs="Arial"/>
                            <w:sz w:val="21"/>
                            <w:szCs w:val="21"/>
                            <w:lang w:eastAsia="es-ES"/>
                          </w:rPr>
                          <w:lastRenderedPageBreak/>
                          <w:t>acusador particular y a la defensa, los que debatirán sobre la procedencia o admisibilidad de las cuestiones planteadas y la pertinencia de la prueba ofrecida. El fiscal podrá en la misma audiencia, con cargo a presentar el escrito respectivo en el plazo máximo de veinticuatro (24) horas siguientes a la audiencia, aclarar o corregir la acusación en lo que no sea sustancial; el juez en el mismo acto correrá traslado a los demás sujetos procesales. Si no existen más observaciones, se tendrá por saneada.</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Finalizada la audiencia, el juez de instrucción resolverá inmediatamente todas las cuestiones planteadas, salvo que por lo avanzado de la hora o lo complejo de los asuntos por resolver difiera la fundamentación de la decisión hasta por cuarenta y ocho (48) horas improrrogables. Las decisiones sobre la admisibilidad de prueba y las exclusiones probatorias no son recurribles.</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En la misma resolución sobre las cuestiones planteadas, el juez de instrucción dictará auto de apertura de juicio, disponiendo la remisión de la acusación pública y particular, el escrito de ofrecimiento de la defensa y las pruebas documentales y materiales ofrecidas al juez de sentencia.</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Artículo 393 </w:t>
                        </w:r>
                        <w:proofErr w:type="spellStart"/>
                        <w:r w:rsidRPr="00AB7E85">
                          <w:rPr>
                            <w:rFonts w:ascii="Arial" w:eastAsia="Times New Roman" w:hAnsi="Arial" w:cs="Arial"/>
                            <w:b/>
                            <w:bCs/>
                            <w:sz w:val="21"/>
                            <w:szCs w:val="21"/>
                            <w:lang w:eastAsia="es-ES"/>
                          </w:rPr>
                          <w:t>quinquer</w:t>
                        </w:r>
                        <w:proofErr w:type="spellEnd"/>
                        <w:r w:rsidRPr="00AB7E85">
                          <w:rPr>
                            <w:rFonts w:ascii="Arial" w:eastAsia="Times New Roman" w:hAnsi="Arial" w:cs="Arial"/>
                            <w:b/>
                            <w:bCs/>
                            <w:sz w:val="21"/>
                            <w:szCs w:val="21"/>
                            <w:lang w:eastAsia="es-ES"/>
                          </w:rPr>
                          <w:t>. (Juicio Inmediato).</w:t>
                        </w:r>
                        <w:r w:rsidRPr="00AB7E85">
                          <w:rPr>
                            <w:rFonts w:ascii="Arial" w:eastAsia="Times New Roman" w:hAnsi="Arial" w:cs="Arial"/>
                            <w:sz w:val="21"/>
                            <w:szCs w:val="21"/>
                            <w:lang w:eastAsia="es-ES"/>
                          </w:rPr>
                          <w:t xml:space="preserve"> Radicada la causa, el juez de sentencia señalará día y hora de audiencia de sustanciación del juicio, que se realizará en un plazo no mayor a cinco (5) días.</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El día y hora de audiencia, verificada la presencia de las partes, el juez concederá la palabra a la Fiscalía para que realice la fundamentación de su acusación; posteriormente dará la palabra al acusador particular para que fundamente su acusación y a la víctima si lo solicita; luego al imputado a los efectos de saber si hará uso en ese momento de su defensa material y finalmente otorgará la palabra a la defensa técnica para que presente su caso. No se dará lectura a las acusaciones ni a las acusaciones ni al ofrecimiento de prueba de la defensa.</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Abierto el debate, se recibirá la prueba del Ministerio Público, luego la prueba de la acusación particular y finalmente la prueba de la defensa, en el orden en que cada parte considere conveniente para su presentación. Si el imputado decide declarar como parte de la prueba de la defensa, este será tratado de acuerdo a las reglas de declaración de testigos en juicio oral.</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Finalizada la producción de la prueba, cada parte, comenzando por el Ministerio Público, tendrá la oportunidad de realizar su alegato en conclusiones, dando en última instancia la palabra a la víctima y al imputado, en ese orden, a los efectos de que puedan realizar su manifestación final.</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En todo lo demás serán aplicables las reglas previstas para el juicio ordinario, conforme a lo señalado en este Código.</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 xml:space="preserve">Artículo 393 </w:t>
                        </w:r>
                        <w:proofErr w:type="spellStart"/>
                        <w:r w:rsidRPr="00AB7E85">
                          <w:rPr>
                            <w:rFonts w:ascii="Arial" w:eastAsia="Times New Roman" w:hAnsi="Arial" w:cs="Arial"/>
                            <w:b/>
                            <w:bCs/>
                            <w:sz w:val="21"/>
                            <w:szCs w:val="21"/>
                            <w:lang w:eastAsia="es-ES"/>
                          </w:rPr>
                          <w:t>sexter</w:t>
                        </w:r>
                        <w:proofErr w:type="spellEnd"/>
                        <w:r w:rsidRPr="00AB7E85">
                          <w:rPr>
                            <w:rFonts w:ascii="Arial" w:eastAsia="Times New Roman" w:hAnsi="Arial" w:cs="Arial"/>
                            <w:b/>
                            <w:bCs/>
                            <w:sz w:val="21"/>
                            <w:szCs w:val="21"/>
                            <w:lang w:eastAsia="es-ES"/>
                          </w:rPr>
                          <w:t>. (Sentencia).</w:t>
                        </w:r>
                        <w:r w:rsidRPr="00AB7E85">
                          <w:rPr>
                            <w:rFonts w:ascii="Arial" w:eastAsia="Times New Roman" w:hAnsi="Arial" w:cs="Arial"/>
                            <w:sz w:val="21"/>
                            <w:szCs w:val="21"/>
                            <w:lang w:eastAsia="es-ES"/>
                          </w:rPr>
                          <w:t xml:space="preserve"> Finalizados los alegatos de las partes, el juez de sentencia procederá a dictar sentencia inmediatamente, conforme a lo previsto en los Artículos 361 y siguientes de este Código, sin embargo, no se podrá diferir la redacción de los fundamentos, debiendo darse lectura Integra de la misma.”</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5000" w:type="pct"/>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bl>
                  <w:tblPr>
                    <w:tblW w:w="5000" w:type="pct"/>
                    <w:tblCellSpacing w:w="0" w:type="dxa"/>
                    <w:tblCellMar>
                      <w:left w:w="0" w:type="dxa"/>
                      <w:right w:w="0" w:type="dxa"/>
                    </w:tblCellMar>
                    <w:tblLook w:val="04A0"/>
                  </w:tblPr>
                  <w:tblGrid>
                    <w:gridCol w:w="7200"/>
                    <w:gridCol w:w="1304"/>
                  </w:tblGrid>
                  <w:tr w:rsidR="00AB7E85" w:rsidRPr="00AB7E85">
                    <w:trPr>
                      <w:tblCellSpacing w:w="0" w:type="dxa"/>
                    </w:trPr>
                    <w:tc>
                      <w:tcPr>
                        <w:tcW w:w="7200" w:type="dxa"/>
                        <w:vAlign w:val="center"/>
                        <w:hideMark/>
                      </w:tcPr>
                      <w:p w:rsidR="00AB7E85" w:rsidRPr="00AB7E85" w:rsidRDefault="00AB7E85" w:rsidP="00AB7E85">
                        <w:pPr>
                          <w:spacing w:after="0" w:line="240" w:lineRule="auto"/>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ARTÍCULO 3. (Modificaciones a la Ley Nº 1768 de 10 de marzo de 1997, de Modificaciones al Código Penal).</w:t>
                        </w:r>
                      </w:p>
                    </w:tc>
                    <w:tc>
                      <w:tcPr>
                        <w:tcW w:w="0" w:type="auto"/>
                        <w:hideMark/>
                      </w:tcPr>
                      <w:p w:rsidR="00AB7E85" w:rsidRPr="00AB7E85" w:rsidRDefault="00AB7E85" w:rsidP="00AB7E85">
                        <w:pPr>
                          <w:spacing w:after="0" w:line="240" w:lineRule="auto"/>
                          <w:jc w:val="right"/>
                          <w:rPr>
                            <w:rFonts w:ascii="Arial" w:eastAsia="Times New Roman" w:hAnsi="Arial" w:cs="Arial"/>
                            <w:sz w:val="21"/>
                            <w:szCs w:val="21"/>
                            <w:lang w:eastAsia="es-ES"/>
                          </w:rPr>
                        </w:pPr>
                        <w:r w:rsidRPr="00AB7E85">
                          <w:rPr>
                            <w:rFonts w:ascii="Arial" w:eastAsia="Times New Roman" w:hAnsi="Arial" w:cs="Arial"/>
                            <w:noProof/>
                            <w:sz w:val="21"/>
                            <w:szCs w:val="21"/>
                            <w:lang w:eastAsia="es-ES"/>
                          </w:rPr>
                          <w:drawing>
                            <wp:inline distT="0" distB="0" distL="0" distR="0">
                              <wp:extent cx="180975" cy="180975"/>
                              <wp:effectExtent l="19050" t="0" r="9525" b="0"/>
                              <wp:docPr id="21" name="Imagen 21" descr="Referencia">
                                <a:hlinkClick xmlns:a="http://schemas.openxmlformats.org/drawingml/2006/main" r:id="rId11" tooltip="Refer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ferencia">
                                        <a:hlinkClick r:id="rId11" tooltip="Referencia"/>
                                      </pic:cNvPr>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2" name="Imagen 22" descr="Fundamentación">
                                <a:hlinkClick xmlns:a="http://schemas.openxmlformats.org/drawingml/2006/main" r:id="rId11" tooltip="Fundamentació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undamentación">
                                        <a:hlinkClick r:id="rId11" tooltip="Fundamentación"/>
                                      </pic:cNvPr>
                                      <pic:cNvPicPr>
                                        <a:picLocks noChangeAspect="1" noChangeArrowheads="1"/>
                                      </pic:cNvPicPr>
                                    </pic:nvPicPr>
                                    <pic:blipFill>
                                      <a:blip r:embed="rId13"/>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3" name="Imagen 23" descr="Vigencia">
                                <a:hlinkClick xmlns:a="http://schemas.openxmlformats.org/drawingml/2006/main" r:id="rId11" tooltip="Vig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igencia">
                                        <a:hlinkClick r:id="rId11" tooltip="Vigencia"/>
                                      </pic:cNvPr>
                                      <pic:cNvPicPr>
                                        <a:picLocks noChangeAspect="1" noChangeArrowheads="1"/>
                                      </pic:cNvPicPr>
                                    </pic:nvPicPr>
                                    <pic:blipFill>
                                      <a:blip r:embed="rId14"/>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4" name="Imagen 24" descr="Concordancia">
                                <a:hlinkClick xmlns:a="http://schemas.openxmlformats.org/drawingml/2006/main" r:id="rId11" tooltip="Concorda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oncordancia">
                                        <a:hlinkClick r:id="rId11" tooltip="Concordancia"/>
                                      </pic:cNvPr>
                                      <pic:cNvPicPr>
                                        <a:picLocks noChangeAspect="1" noChangeArrowheads="1"/>
                                      </pic:cNvPicPr>
                                    </pic:nvPicPr>
                                    <pic:blipFill>
                                      <a:blip r:embed="rId15"/>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5" name="Imagen 25" descr="Reglamentos">
                                <a:hlinkClick xmlns:a="http://schemas.openxmlformats.org/drawingml/2006/main" r:id="rId11" tooltip="Reglamento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glamentos">
                                        <a:hlinkClick r:id="rId11" tooltip="Reglamentos"/>
                                      </pic:cNvPr>
                                      <pic:cNvPicPr>
                                        <a:picLocks noChangeAspect="1" noChangeArrowheads="1"/>
                                      </pic:cNvPicPr>
                                    </pic:nvPicPr>
                                    <pic:blipFill>
                                      <a:blip r:embed="rId16"/>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6" name="Imagen 26" descr="Precedente">
                                <a:hlinkClick xmlns:a="http://schemas.openxmlformats.org/drawingml/2006/main" r:id="rId11" tooltip="Preceden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Precedente">
                                        <a:hlinkClick r:id="rId11" tooltip="Precedente"/>
                                      </pic:cNvPr>
                                      <pic:cNvPicPr>
                                        <a:picLocks noChangeAspect="1" noChangeArrowheads="1"/>
                                      </pic:cNvPicPr>
                                    </pic:nvPicPr>
                                    <pic:blipFill>
                                      <a:blip r:embed="rId17"/>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7" name="Imagen 27" descr="Notas al artículo">
                                <a:hlinkClick xmlns:a="http://schemas.openxmlformats.org/drawingml/2006/main" r:id="rId11" tooltip="Notas al artículo"/>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Notas al artículo">
                                        <a:hlinkClick r:id="rId11" tooltip="Notas al artículo"/>
                                      </pic:cNvPr>
                                      <pic:cNvPicPr>
                                        <a:picLocks noChangeAspect="1" noChangeArrowheads="1"/>
                                      </pic:cNvPicPr>
                                    </pic:nvPicPr>
                                    <pic:blipFill>
                                      <a:blip r:embed="rId1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8" name="Imagen 28" descr="Jurisprudencia">
                                <a:hlinkClick xmlns:a="http://schemas.openxmlformats.org/drawingml/2006/main" r:id="rId11" tooltip="Jurisprud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Jurisprudencia">
                                        <a:hlinkClick r:id="rId11" tooltip="Jurisprudencia"/>
                                      </pic:cNvPr>
                                      <pic:cNvPicPr>
                                        <a:picLocks noChangeAspect="1" noChangeArrowheads="1"/>
                                      </pic:cNvPicPr>
                                    </pic:nvPicPr>
                                    <pic:blipFill>
                                      <a:blip r:embed="rId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29" name="Imagen 29" descr="Doctrina">
                                <a:hlinkClick xmlns:a="http://schemas.openxmlformats.org/drawingml/2006/main" r:id="rId11" tooltip="Doctrin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octrina">
                                        <a:hlinkClick r:id="rId11" tooltip="Doctrina"/>
                                      </pic:cNvPr>
                                      <pic:cNvPicPr>
                                        <a:picLocks noChangeAspect="1" noChangeArrowheads="1"/>
                                      </pic:cNvPicPr>
                                    </pic:nvPicPr>
                                    <pic:blipFill>
                                      <a:blip r:embed="rId2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0" name="Imagen 30" descr="Mis Apuntes">
                                <a:hlinkClick xmlns:a="http://schemas.openxmlformats.org/drawingml/2006/main" r:id="rId11" tooltip="Mis Apunte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is Apuntes">
                                        <a:hlinkClick r:id="rId11" tooltip="Mis Apuntes"/>
                                      </pic:cNvPr>
                                      <pic:cNvPicPr>
                                        <a:picLocks noChangeAspect="1" noChangeArrowheads="1"/>
                                      </pic:cNvPicPr>
                                    </pic:nvPicPr>
                                    <pic:blipFill>
                                      <a:blip r:embed="rId21"/>
                                      <a:srcRect/>
                                      <a:stretch>
                                        <a:fillRect/>
                                      </a:stretch>
                                    </pic:blipFill>
                                    <pic:spPr bwMode="auto">
                                      <a:xfrm>
                                        <a:off x="0" y="0"/>
                                        <a:ext cx="180975" cy="180975"/>
                                      </a:xfrm>
                                      <a:prstGeom prst="rect">
                                        <a:avLst/>
                                      </a:prstGeom>
                                      <a:noFill/>
                                      <a:ln w="9525">
                                        <a:noFill/>
                                        <a:miter lim="800000"/>
                                        <a:headEnd/>
                                        <a:tailEnd/>
                                      </a:ln>
                                    </pic:spPr>
                                  </pic:pic>
                                </a:graphicData>
                              </a:graphic>
                            </wp:inline>
                          </w:drawing>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br/>
                    <w:t xml:space="preserve">Se modifican los Artículos 174 y 177 bis de la </w:t>
                  </w:r>
                  <w:hyperlink r:id="rId24" w:history="1">
                    <w:r w:rsidRPr="00AB7E85">
                      <w:rPr>
                        <w:rFonts w:ascii="Arial" w:eastAsia="Times New Roman" w:hAnsi="Arial" w:cs="Arial"/>
                        <w:sz w:val="21"/>
                        <w:u w:val="single"/>
                        <w:lang w:eastAsia="es-ES"/>
                      </w:rPr>
                      <w:t>Ley Nº 1768</w:t>
                    </w:r>
                  </w:hyperlink>
                  <w:r w:rsidRPr="00AB7E85">
                    <w:rPr>
                      <w:rFonts w:ascii="Arial" w:eastAsia="Times New Roman" w:hAnsi="Arial" w:cs="Arial"/>
                      <w:sz w:val="21"/>
                      <w:szCs w:val="21"/>
                      <w:lang w:eastAsia="es-ES"/>
                    </w:rPr>
                    <w:t xml:space="preserve"> de 10 de marzo de 1997, de Modificaciones al Código Penal, con sus reformas posteriores, quedando redactados con </w:t>
                  </w:r>
                  <w:r w:rsidRPr="00AB7E85">
                    <w:rPr>
                      <w:rFonts w:ascii="Arial" w:eastAsia="Times New Roman" w:hAnsi="Arial" w:cs="Arial"/>
                      <w:sz w:val="21"/>
                      <w:szCs w:val="21"/>
                      <w:lang w:eastAsia="es-ES"/>
                    </w:rPr>
                    <w:lastRenderedPageBreak/>
                    <w:t>el siguiente texto:</w:t>
                  </w:r>
                </w:p>
                <w:tbl>
                  <w:tblPr>
                    <w:tblW w:w="5000" w:type="pct"/>
                    <w:tblCellSpacing w:w="0" w:type="dxa"/>
                    <w:tblCellMar>
                      <w:left w:w="0" w:type="dxa"/>
                      <w:right w:w="0" w:type="dxa"/>
                    </w:tblCellMar>
                    <w:tblLook w:val="04A0"/>
                  </w:tblPr>
                  <w:tblGrid>
                    <w:gridCol w:w="585"/>
                    <w:gridCol w:w="7919"/>
                  </w:tblGrid>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174. (Consorcio de Jueces, Fiscales, Policías y Abogados).</w:t>
                        </w:r>
                        <w:r w:rsidRPr="00AB7E85">
                          <w:rPr>
                            <w:rFonts w:ascii="Arial" w:eastAsia="Times New Roman" w:hAnsi="Arial" w:cs="Arial"/>
                            <w:sz w:val="21"/>
                            <w:szCs w:val="21"/>
                            <w:lang w:eastAsia="es-ES"/>
                          </w:rPr>
                          <w:t xml:space="preserve"> El juez o fiscal que concertare la formación de consorcios con uno o varios abogados o policías, o formare parte de ellos, con el objeto de procurarse ventajas económicas ilícitas en detrimento de la sana administración de justicia, será sancionado con privación de libertad de cinco a diez años.</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Idéntica sanción será impuesta al o los abogados que con igual finalidad y efecto, concertaren dichos consorcios con uno o varios jueces, fiscales o policías u otros abogados o formaren también parte de ellos.</w:t>
                        </w:r>
                      </w:p>
                    </w:tc>
                  </w:tr>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b/>
                            <w:bCs/>
                            <w:sz w:val="21"/>
                            <w:szCs w:val="21"/>
                            <w:lang w:eastAsia="es-ES"/>
                          </w:rPr>
                          <w:t>Artículo 177 bis. (Retardo de Justicia).</w:t>
                        </w:r>
                        <w:r w:rsidRPr="00AB7E85">
                          <w:rPr>
                            <w:rFonts w:ascii="Arial" w:eastAsia="Times New Roman" w:hAnsi="Arial" w:cs="Arial"/>
                            <w:sz w:val="21"/>
                            <w:szCs w:val="21"/>
                            <w:lang w:eastAsia="es-ES"/>
                          </w:rPr>
                          <w:t xml:space="preserve"> El funcionario judicial o administrativo culpable de retardo malicioso, será sancionado con la pena prevista para el delito de Negativa o Retardo de Justicia. Se entenderá por malicioso, el retardo provocado para conseguir cualquier finalidad ilegitima."</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5000" w:type="pct"/>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bl>
                  <w:tblPr>
                    <w:tblW w:w="5000" w:type="pct"/>
                    <w:tblCellSpacing w:w="0" w:type="dxa"/>
                    <w:tblCellMar>
                      <w:left w:w="0" w:type="dxa"/>
                      <w:right w:w="0" w:type="dxa"/>
                    </w:tblCellMar>
                    <w:tblLook w:val="04A0"/>
                  </w:tblPr>
                  <w:tblGrid>
                    <w:gridCol w:w="7200"/>
                    <w:gridCol w:w="1304"/>
                  </w:tblGrid>
                  <w:tr w:rsidR="00AB7E85" w:rsidRPr="00AB7E85">
                    <w:trPr>
                      <w:tblCellSpacing w:w="0" w:type="dxa"/>
                    </w:trPr>
                    <w:tc>
                      <w:tcPr>
                        <w:tcW w:w="7200" w:type="dxa"/>
                        <w:vAlign w:val="center"/>
                        <w:hideMark/>
                      </w:tcPr>
                      <w:p w:rsidR="00AB7E85" w:rsidRPr="00AB7E85" w:rsidRDefault="00AB7E85" w:rsidP="00AB7E85">
                        <w:pPr>
                          <w:spacing w:after="0" w:line="240" w:lineRule="auto"/>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ARTÍCULO 4. (Modificación a la Ley Nº 2298 de 20 de diciembre de 2001, de Ejecución Penal y Supervisión).</w:t>
                        </w:r>
                      </w:p>
                    </w:tc>
                    <w:tc>
                      <w:tcPr>
                        <w:tcW w:w="0" w:type="auto"/>
                        <w:hideMark/>
                      </w:tcPr>
                      <w:p w:rsidR="00AB7E85" w:rsidRPr="00AB7E85" w:rsidRDefault="00AB7E85" w:rsidP="00AB7E85">
                        <w:pPr>
                          <w:spacing w:after="0" w:line="240" w:lineRule="auto"/>
                          <w:jc w:val="right"/>
                          <w:rPr>
                            <w:rFonts w:ascii="Arial" w:eastAsia="Times New Roman" w:hAnsi="Arial" w:cs="Arial"/>
                            <w:sz w:val="21"/>
                            <w:szCs w:val="21"/>
                            <w:lang w:eastAsia="es-ES"/>
                          </w:rPr>
                        </w:pPr>
                        <w:r w:rsidRPr="00AB7E85">
                          <w:rPr>
                            <w:rFonts w:ascii="Arial" w:eastAsia="Times New Roman" w:hAnsi="Arial" w:cs="Arial"/>
                            <w:noProof/>
                            <w:sz w:val="21"/>
                            <w:szCs w:val="21"/>
                            <w:lang w:eastAsia="es-ES"/>
                          </w:rPr>
                          <w:drawing>
                            <wp:inline distT="0" distB="0" distL="0" distR="0">
                              <wp:extent cx="180975" cy="180975"/>
                              <wp:effectExtent l="19050" t="0" r="9525" b="0"/>
                              <wp:docPr id="31" name="Imagen 31" descr="Referencia">
                                <a:hlinkClick xmlns:a="http://schemas.openxmlformats.org/drawingml/2006/main" r:id="rId11" tooltip="Refer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ferencia">
                                        <a:hlinkClick r:id="rId11" tooltip="Referencia"/>
                                      </pic:cNvPr>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2" name="Imagen 32" descr="Fundamentación">
                                <a:hlinkClick xmlns:a="http://schemas.openxmlformats.org/drawingml/2006/main" r:id="rId11" tooltip="Fundamentació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undamentación">
                                        <a:hlinkClick r:id="rId11" tooltip="Fundamentación"/>
                                      </pic:cNvPr>
                                      <pic:cNvPicPr>
                                        <a:picLocks noChangeAspect="1" noChangeArrowheads="1"/>
                                      </pic:cNvPicPr>
                                    </pic:nvPicPr>
                                    <pic:blipFill>
                                      <a:blip r:embed="rId13"/>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3" name="Imagen 33" descr="Vigencia">
                                <a:hlinkClick xmlns:a="http://schemas.openxmlformats.org/drawingml/2006/main" r:id="rId11" tooltip="Vig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Vigencia">
                                        <a:hlinkClick r:id="rId11" tooltip="Vigencia"/>
                                      </pic:cNvPr>
                                      <pic:cNvPicPr>
                                        <a:picLocks noChangeAspect="1" noChangeArrowheads="1"/>
                                      </pic:cNvPicPr>
                                    </pic:nvPicPr>
                                    <pic:blipFill>
                                      <a:blip r:embed="rId14"/>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4" name="Imagen 34" descr="Concordancia">
                                <a:hlinkClick xmlns:a="http://schemas.openxmlformats.org/drawingml/2006/main" r:id="rId11" tooltip="Concorda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oncordancia">
                                        <a:hlinkClick r:id="rId11" tooltip="Concordancia"/>
                                      </pic:cNvPr>
                                      <pic:cNvPicPr>
                                        <a:picLocks noChangeAspect="1" noChangeArrowheads="1"/>
                                      </pic:cNvPicPr>
                                    </pic:nvPicPr>
                                    <pic:blipFill>
                                      <a:blip r:embed="rId15"/>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5" name="Imagen 35" descr="Reglamentos">
                                <a:hlinkClick xmlns:a="http://schemas.openxmlformats.org/drawingml/2006/main" r:id="rId11" tooltip="Reglamento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glamentos">
                                        <a:hlinkClick r:id="rId11" tooltip="Reglamentos"/>
                                      </pic:cNvPr>
                                      <pic:cNvPicPr>
                                        <a:picLocks noChangeAspect="1" noChangeArrowheads="1"/>
                                      </pic:cNvPicPr>
                                    </pic:nvPicPr>
                                    <pic:blipFill>
                                      <a:blip r:embed="rId16"/>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6" name="Imagen 36" descr="Precedente">
                                <a:hlinkClick xmlns:a="http://schemas.openxmlformats.org/drawingml/2006/main" r:id="rId11" tooltip="Preceden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recedente">
                                        <a:hlinkClick r:id="rId11" tooltip="Precedente"/>
                                      </pic:cNvPr>
                                      <pic:cNvPicPr>
                                        <a:picLocks noChangeAspect="1" noChangeArrowheads="1"/>
                                      </pic:cNvPicPr>
                                    </pic:nvPicPr>
                                    <pic:blipFill>
                                      <a:blip r:embed="rId17"/>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7" name="Imagen 37" descr="Notas al artículo">
                                <a:hlinkClick xmlns:a="http://schemas.openxmlformats.org/drawingml/2006/main" r:id="rId11" tooltip="Notas al artículo"/>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Notas al artículo">
                                        <a:hlinkClick r:id="rId11" tooltip="Notas al artículo"/>
                                      </pic:cNvPr>
                                      <pic:cNvPicPr>
                                        <a:picLocks noChangeAspect="1" noChangeArrowheads="1"/>
                                      </pic:cNvPicPr>
                                    </pic:nvPicPr>
                                    <pic:blipFill>
                                      <a:blip r:embed="rId1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8" name="Imagen 38" descr="Jurisprudencia">
                                <a:hlinkClick xmlns:a="http://schemas.openxmlformats.org/drawingml/2006/main" r:id="rId11" tooltip="Jurisprudenci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Jurisprudencia">
                                        <a:hlinkClick r:id="rId11" tooltip="Jurisprudencia"/>
                                      </pic:cNvPr>
                                      <pic:cNvPicPr>
                                        <a:picLocks noChangeAspect="1" noChangeArrowheads="1"/>
                                      </pic:cNvPicPr>
                                    </pic:nvPicPr>
                                    <pic:blipFill>
                                      <a:blip r:embed="rId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39" name="Imagen 39" descr="Doctrina">
                                <a:hlinkClick xmlns:a="http://schemas.openxmlformats.org/drawingml/2006/main" r:id="rId11" tooltip="Doctrin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octrina">
                                        <a:hlinkClick r:id="rId11" tooltip="Doctrina"/>
                                      </pic:cNvPr>
                                      <pic:cNvPicPr>
                                        <a:picLocks noChangeAspect="1" noChangeArrowheads="1"/>
                                      </pic:cNvPicPr>
                                    </pic:nvPicPr>
                                    <pic:blipFill>
                                      <a:blip r:embed="rId2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AB7E85">
                          <w:rPr>
                            <w:rFonts w:ascii="Arial" w:eastAsia="Times New Roman" w:hAnsi="Arial" w:cs="Arial"/>
                            <w:noProof/>
                            <w:sz w:val="21"/>
                            <w:szCs w:val="21"/>
                            <w:lang w:eastAsia="es-ES"/>
                          </w:rPr>
                          <w:drawing>
                            <wp:inline distT="0" distB="0" distL="0" distR="0">
                              <wp:extent cx="180975" cy="180975"/>
                              <wp:effectExtent l="19050" t="0" r="9525" b="0"/>
                              <wp:docPr id="40" name="Imagen 40" descr="Mis Apuntes">
                                <a:hlinkClick xmlns:a="http://schemas.openxmlformats.org/drawingml/2006/main" r:id="rId11" tooltip="Mis Apunte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Mis Apuntes">
                                        <a:hlinkClick r:id="rId11" tooltip="Mis Apuntes"/>
                                      </pic:cNvPr>
                                      <pic:cNvPicPr>
                                        <a:picLocks noChangeAspect="1" noChangeArrowheads="1"/>
                                      </pic:cNvPicPr>
                                    </pic:nvPicPr>
                                    <pic:blipFill>
                                      <a:blip r:embed="rId21"/>
                                      <a:srcRect/>
                                      <a:stretch>
                                        <a:fillRect/>
                                      </a:stretch>
                                    </pic:blipFill>
                                    <pic:spPr bwMode="auto">
                                      <a:xfrm>
                                        <a:off x="0" y="0"/>
                                        <a:ext cx="180975" cy="180975"/>
                                      </a:xfrm>
                                      <a:prstGeom prst="rect">
                                        <a:avLst/>
                                      </a:prstGeom>
                                      <a:noFill/>
                                      <a:ln w="9525">
                                        <a:noFill/>
                                        <a:miter lim="800000"/>
                                        <a:headEnd/>
                                        <a:tailEnd/>
                                      </a:ln>
                                    </pic:spPr>
                                  </pic:pic>
                                </a:graphicData>
                              </a:graphic>
                            </wp:inline>
                          </w:drawing>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0" w:type="auto"/>
                  <w:vAlign w:val="center"/>
                  <w:hideMark/>
                </w:tcPr>
                <w:p w:rsidR="00AB7E85" w:rsidRPr="00AB7E85" w:rsidRDefault="00AB7E85" w:rsidP="00AB7E85">
                  <w:pPr>
                    <w:spacing w:after="24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br/>
                    <w:t xml:space="preserve">Se adiciona a la parte final del Artículo 48 de la </w:t>
                  </w:r>
                  <w:hyperlink r:id="rId25" w:history="1">
                    <w:r w:rsidRPr="00AB7E85">
                      <w:rPr>
                        <w:rFonts w:ascii="Arial" w:eastAsia="Times New Roman" w:hAnsi="Arial" w:cs="Arial"/>
                        <w:sz w:val="21"/>
                        <w:u w:val="single"/>
                        <w:lang w:eastAsia="es-ES"/>
                      </w:rPr>
                      <w:t>Ley Nº 2298</w:t>
                    </w:r>
                  </w:hyperlink>
                  <w:r w:rsidRPr="00AB7E85">
                    <w:rPr>
                      <w:rFonts w:ascii="Arial" w:eastAsia="Times New Roman" w:hAnsi="Arial" w:cs="Arial"/>
                      <w:sz w:val="21"/>
                      <w:szCs w:val="21"/>
                      <w:lang w:eastAsia="es-ES"/>
                    </w:rPr>
                    <w:t xml:space="preserve"> de 20 de diciembre de 2001, de Ejecución Penal y Supervisión, el siguiente texto: </w:t>
                  </w:r>
                </w:p>
                <w:tbl>
                  <w:tblPr>
                    <w:tblW w:w="5000" w:type="pct"/>
                    <w:tblCellSpacing w:w="0" w:type="dxa"/>
                    <w:tblCellMar>
                      <w:left w:w="0" w:type="dxa"/>
                      <w:right w:w="0" w:type="dxa"/>
                    </w:tblCellMar>
                    <w:tblLook w:val="04A0"/>
                  </w:tblPr>
                  <w:tblGrid>
                    <w:gridCol w:w="585"/>
                    <w:gridCol w:w="7919"/>
                  </w:tblGrid>
                  <w:tr w:rsidR="00AB7E85" w:rsidRPr="00AB7E85" w:rsidTr="00AB7E85">
                    <w:trPr>
                      <w:tblCellSpacing w:w="0" w:type="dxa"/>
                    </w:trPr>
                    <w:tc>
                      <w:tcPr>
                        <w:tcW w:w="585" w:type="dxa"/>
                        <w:hideMark/>
                      </w:tcPr>
                      <w:p w:rsidR="00AB7E85" w:rsidRPr="00AB7E85" w:rsidRDefault="00AB7E85" w:rsidP="00AB7E85">
                        <w:pPr>
                          <w:spacing w:after="0" w:line="240" w:lineRule="auto"/>
                          <w:rPr>
                            <w:rFonts w:ascii="Arial" w:eastAsia="Times New Roman" w:hAnsi="Arial" w:cs="Arial"/>
                            <w:sz w:val="21"/>
                            <w:szCs w:val="21"/>
                            <w:lang w:eastAsia="es-ES"/>
                          </w:rPr>
                        </w:pPr>
                      </w:p>
                    </w:tc>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t>"El Director General de Régimen Penitenciario, excepcionalmente, podrá disponer el traslado inmediato de una privada o privado de libertad a otro recinto penitenciario, cuando exista riesgo inminente de su vida o cuando su conducta ponga en riesgo la vida y seguridad de los otros privados de libertad.</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El Director General de Régimen Penitenciario, en caso de disponer el traslado de un privado de libertad a otro recinto, ya sea detenido preventivo o de ejecución penal o sentenciado, deberá poner en conocimiento del juez de la causa y del juez de ejecución penal según corresponda en el plazo máximo de cuarenta y ocho (48) horas, debiendo adjuntar un informe fundamentado que sustente la decisión.</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 xml:space="preserve">El juez de Ejecución Penal o en su caso, el juez de la causa, previa valoración de los antecedentes enviados por el Director General de Régimen Penitenciario, se pronunciara en el plazo máximo de cinco (5) días ratificando o revocando el traslado. </w:t>
                        </w:r>
                        <w:r w:rsidRPr="00AB7E85">
                          <w:rPr>
                            <w:rFonts w:ascii="Arial" w:eastAsia="Times New Roman" w:hAnsi="Arial" w:cs="Arial"/>
                            <w:sz w:val="21"/>
                            <w:szCs w:val="21"/>
                            <w:lang w:eastAsia="es-ES"/>
                          </w:rPr>
                          <w:br/>
                        </w:r>
                        <w:r w:rsidRPr="00AB7E85">
                          <w:rPr>
                            <w:rFonts w:ascii="Arial" w:eastAsia="Times New Roman" w:hAnsi="Arial" w:cs="Arial"/>
                            <w:sz w:val="21"/>
                            <w:szCs w:val="21"/>
                            <w:lang w:eastAsia="es-ES"/>
                          </w:rPr>
                          <w:br/>
                          <w:t>En caso de ratificarse el traslado, se deberá enviar el cuaderno de investigaciones o los actuados radicados en el Juzgado de Ejecución Penal, con la finalidad de garantizar el derecho a la defensa del privado de libertad."</w:t>
                        </w: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0" w:type="auto"/>
                  <w:vAlign w:val="center"/>
                  <w:hideMark/>
                </w:tcPr>
                <w:p w:rsidR="00AB7E85" w:rsidRPr="00AB7E85" w:rsidRDefault="00AB7E85" w:rsidP="00AB7E85">
                  <w:pPr>
                    <w:spacing w:after="0" w:line="240" w:lineRule="auto"/>
                    <w:jc w:val="center"/>
                    <w:rPr>
                      <w:rFonts w:ascii="Arial" w:eastAsia="Times New Roman" w:hAnsi="Arial" w:cs="Arial"/>
                      <w:b/>
                      <w:bCs/>
                      <w:sz w:val="21"/>
                      <w:szCs w:val="21"/>
                      <w:lang w:eastAsia="es-ES"/>
                    </w:rPr>
                  </w:pPr>
                  <w:r w:rsidRPr="00AB7E85">
                    <w:rPr>
                      <w:rFonts w:ascii="Arial" w:eastAsia="Times New Roman" w:hAnsi="Arial" w:cs="Arial"/>
                      <w:b/>
                      <w:bCs/>
                      <w:sz w:val="21"/>
                      <w:szCs w:val="21"/>
                      <w:lang w:eastAsia="es-ES"/>
                    </w:rPr>
                    <w:br/>
                    <w:t>DISPOSICION FINAL</w:t>
                  </w:r>
                </w:p>
              </w:tc>
            </w:tr>
            <w:tr w:rsidR="00AB7E85" w:rsidRPr="00AB7E85">
              <w:trPr>
                <w:tblCellSpacing w:w="0" w:type="dxa"/>
              </w:trPr>
              <w:tc>
                <w:tcPr>
                  <w:tcW w:w="5000" w:type="pct"/>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bl>
                  <w:tblPr>
                    <w:tblW w:w="5000" w:type="pct"/>
                    <w:tblCellSpacing w:w="0" w:type="dxa"/>
                    <w:tblCellMar>
                      <w:left w:w="0" w:type="dxa"/>
                      <w:right w:w="0" w:type="dxa"/>
                    </w:tblCellMar>
                    <w:tblLook w:val="04A0"/>
                  </w:tblPr>
                  <w:tblGrid>
                    <w:gridCol w:w="7200"/>
                    <w:gridCol w:w="1304"/>
                  </w:tblGrid>
                  <w:tr w:rsidR="00AB7E85" w:rsidRPr="00AB7E85">
                    <w:trPr>
                      <w:tblCellSpacing w:w="0" w:type="dxa"/>
                    </w:trPr>
                    <w:tc>
                      <w:tcPr>
                        <w:tcW w:w="7200" w:type="dxa"/>
                        <w:vAlign w:val="center"/>
                        <w:hideMark/>
                      </w:tcPr>
                      <w:p w:rsidR="00AB7E85" w:rsidRPr="00AB7E85" w:rsidRDefault="00AB7E85" w:rsidP="00AB7E85">
                        <w:pPr>
                          <w:spacing w:after="0" w:line="240" w:lineRule="auto"/>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DISPOSICION FINAL ÚNICA.</w:t>
                        </w:r>
                      </w:p>
                    </w:tc>
                    <w:tc>
                      <w:tcPr>
                        <w:tcW w:w="0" w:type="auto"/>
                        <w:hideMark/>
                      </w:tcPr>
                      <w:p w:rsidR="00AB7E85" w:rsidRPr="00AB7E85" w:rsidRDefault="00AB7E85" w:rsidP="00AB7E85">
                        <w:pPr>
                          <w:spacing w:after="0" w:line="240" w:lineRule="auto"/>
                          <w:jc w:val="right"/>
                          <w:rPr>
                            <w:rFonts w:ascii="Arial" w:eastAsia="Times New Roman" w:hAnsi="Arial" w:cs="Arial"/>
                            <w:sz w:val="21"/>
                            <w:szCs w:val="21"/>
                            <w:lang w:eastAsia="es-ES"/>
                          </w:rPr>
                        </w:pP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br/>
                    <w:t>La autoridad jurisdiccional o administrativa que tenga que aplicar una norma del ordenamiento jurídico boliviano, deberá hacerlo, en todos los casos, con sujeción a la Constitución Política del Estado tomando en consideración los principios, valores y fines que sustentan al Estado, siéndole vinculante la jurisprudencia constitucional, solo en aquello que no contradiga dichos postulados de la norma suprema.</w:t>
                  </w:r>
                </w:p>
              </w:tc>
            </w:tr>
            <w:tr w:rsidR="00AB7E85" w:rsidRPr="00AB7E85">
              <w:trPr>
                <w:tblCellSpacing w:w="0" w:type="dxa"/>
              </w:trPr>
              <w:tc>
                <w:tcPr>
                  <w:tcW w:w="0" w:type="auto"/>
                  <w:vAlign w:val="center"/>
                  <w:hideMark/>
                </w:tcPr>
                <w:p w:rsidR="00AB7E85" w:rsidRPr="00AB7E85" w:rsidRDefault="00AB7E85" w:rsidP="00AB7E85">
                  <w:pPr>
                    <w:spacing w:after="0" w:line="240" w:lineRule="auto"/>
                    <w:jc w:val="center"/>
                    <w:rPr>
                      <w:rFonts w:ascii="Arial" w:eastAsia="Times New Roman" w:hAnsi="Arial" w:cs="Arial"/>
                      <w:b/>
                      <w:bCs/>
                      <w:sz w:val="21"/>
                      <w:szCs w:val="21"/>
                      <w:lang w:eastAsia="es-ES"/>
                    </w:rPr>
                  </w:pPr>
                  <w:r w:rsidRPr="00AB7E85">
                    <w:rPr>
                      <w:rFonts w:ascii="Arial" w:eastAsia="Times New Roman" w:hAnsi="Arial" w:cs="Arial"/>
                      <w:b/>
                      <w:bCs/>
                      <w:sz w:val="21"/>
                      <w:szCs w:val="21"/>
                      <w:lang w:eastAsia="es-ES"/>
                    </w:rPr>
                    <w:br/>
                    <w:t>DISPOSICIONES ABROGATORIAS Y DEROGATORIAS</w:t>
                  </w:r>
                </w:p>
              </w:tc>
            </w:tr>
            <w:tr w:rsidR="00AB7E85" w:rsidRPr="00AB7E85">
              <w:trPr>
                <w:tblCellSpacing w:w="0" w:type="dxa"/>
              </w:trPr>
              <w:tc>
                <w:tcPr>
                  <w:tcW w:w="5000" w:type="pct"/>
                  <w:vAlign w:val="center"/>
                  <w:hideMark/>
                </w:tcPr>
                <w:p w:rsidR="00AB7E85" w:rsidRPr="00AB7E85" w:rsidRDefault="00AB7E85" w:rsidP="00AB7E85">
                  <w:pPr>
                    <w:spacing w:after="0" w:line="240" w:lineRule="auto"/>
                    <w:rPr>
                      <w:rFonts w:ascii="Arial" w:eastAsia="Times New Roman" w:hAnsi="Arial" w:cs="Arial"/>
                      <w:sz w:val="21"/>
                      <w:szCs w:val="21"/>
                      <w:lang w:eastAsia="es-ES"/>
                    </w:rPr>
                  </w:pPr>
                </w:p>
                <w:tbl>
                  <w:tblPr>
                    <w:tblW w:w="5000" w:type="pct"/>
                    <w:tblCellSpacing w:w="0" w:type="dxa"/>
                    <w:tblCellMar>
                      <w:left w:w="0" w:type="dxa"/>
                      <w:right w:w="0" w:type="dxa"/>
                    </w:tblCellMar>
                    <w:tblLook w:val="04A0"/>
                  </w:tblPr>
                  <w:tblGrid>
                    <w:gridCol w:w="7200"/>
                    <w:gridCol w:w="1304"/>
                  </w:tblGrid>
                  <w:tr w:rsidR="00AB7E85" w:rsidRPr="00AB7E85">
                    <w:trPr>
                      <w:tblCellSpacing w:w="0" w:type="dxa"/>
                    </w:trPr>
                    <w:tc>
                      <w:tcPr>
                        <w:tcW w:w="7200" w:type="dxa"/>
                        <w:vAlign w:val="center"/>
                        <w:hideMark/>
                      </w:tcPr>
                      <w:p w:rsidR="00AB7E85" w:rsidRPr="00AB7E85" w:rsidRDefault="00AB7E85" w:rsidP="00AB7E85">
                        <w:pPr>
                          <w:spacing w:after="0" w:line="240" w:lineRule="auto"/>
                          <w:rPr>
                            <w:rFonts w:ascii="Arial" w:eastAsia="Times New Roman" w:hAnsi="Arial" w:cs="Arial"/>
                            <w:b/>
                            <w:bCs/>
                            <w:i/>
                            <w:iCs/>
                            <w:sz w:val="21"/>
                            <w:szCs w:val="21"/>
                            <w:lang w:eastAsia="es-ES"/>
                          </w:rPr>
                        </w:pPr>
                        <w:r w:rsidRPr="00AB7E85">
                          <w:rPr>
                            <w:rFonts w:ascii="Arial" w:eastAsia="Times New Roman" w:hAnsi="Arial" w:cs="Arial"/>
                            <w:b/>
                            <w:bCs/>
                            <w:i/>
                            <w:iCs/>
                            <w:sz w:val="21"/>
                            <w:szCs w:val="21"/>
                            <w:lang w:eastAsia="es-ES"/>
                          </w:rPr>
                          <w:t>DISPOSICION ABROGATORIA.</w:t>
                        </w:r>
                      </w:p>
                    </w:tc>
                    <w:tc>
                      <w:tcPr>
                        <w:tcW w:w="0" w:type="auto"/>
                        <w:hideMark/>
                      </w:tcPr>
                      <w:p w:rsidR="00AB7E85" w:rsidRPr="00AB7E85" w:rsidRDefault="00AB7E85" w:rsidP="00AB7E85">
                        <w:pPr>
                          <w:spacing w:after="0" w:line="240" w:lineRule="auto"/>
                          <w:jc w:val="right"/>
                          <w:rPr>
                            <w:rFonts w:ascii="Arial" w:eastAsia="Times New Roman" w:hAnsi="Arial" w:cs="Arial"/>
                            <w:sz w:val="21"/>
                            <w:szCs w:val="21"/>
                            <w:lang w:eastAsia="es-ES"/>
                          </w:rPr>
                        </w:pPr>
                      </w:p>
                    </w:tc>
                  </w:tr>
                </w:tbl>
                <w:p w:rsidR="00AB7E85" w:rsidRPr="00AB7E85" w:rsidRDefault="00AB7E85" w:rsidP="00AB7E85">
                  <w:pPr>
                    <w:spacing w:after="0" w:line="240" w:lineRule="auto"/>
                    <w:rPr>
                      <w:rFonts w:ascii="Arial" w:eastAsia="Times New Roman" w:hAnsi="Arial" w:cs="Arial"/>
                      <w:sz w:val="21"/>
                      <w:szCs w:val="21"/>
                      <w:lang w:eastAsia="es-ES"/>
                    </w:rPr>
                  </w:pPr>
                </w:p>
              </w:tc>
            </w:tr>
            <w:tr w:rsidR="00AB7E85" w:rsidRP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sz w:val="21"/>
                      <w:szCs w:val="21"/>
                      <w:lang w:eastAsia="es-ES"/>
                    </w:rPr>
                  </w:pPr>
                  <w:r w:rsidRPr="00AB7E85">
                    <w:rPr>
                      <w:rFonts w:ascii="Arial" w:eastAsia="Times New Roman" w:hAnsi="Arial" w:cs="Arial"/>
                      <w:sz w:val="21"/>
                      <w:szCs w:val="21"/>
                      <w:lang w:eastAsia="es-ES"/>
                    </w:rPr>
                    <w:lastRenderedPageBreak/>
                    <w:br/>
                    <w:t>Se abrogan todas las disposiciones contrarias a la presente Ley.</w:t>
                  </w:r>
                </w:p>
              </w:tc>
            </w:tr>
            <w:tr w:rsidR="00AB7E85" w:rsidRPr="00AB7E85">
              <w:trPr>
                <w:tblCellSpacing w:w="0" w:type="dxa"/>
              </w:trPr>
              <w:tc>
                <w:tcPr>
                  <w:tcW w:w="0" w:type="auto"/>
                  <w:vAlign w:val="center"/>
                  <w:hideMark/>
                </w:tcPr>
                <w:p w:rsidR="00AB7E85" w:rsidRPr="00AB7E85" w:rsidRDefault="00AB7E85" w:rsidP="00AB7E85">
                  <w:pPr>
                    <w:spacing w:after="0" w:line="240" w:lineRule="auto"/>
                    <w:rPr>
                      <w:rFonts w:ascii="Arial" w:eastAsia="Times New Roman" w:hAnsi="Arial" w:cs="Arial"/>
                      <w:i/>
                      <w:iCs/>
                      <w:sz w:val="21"/>
                      <w:szCs w:val="21"/>
                      <w:lang w:eastAsia="es-ES"/>
                    </w:rPr>
                  </w:pPr>
                  <w:r w:rsidRPr="00AB7E85">
                    <w:rPr>
                      <w:rFonts w:ascii="Arial" w:eastAsia="Times New Roman" w:hAnsi="Arial" w:cs="Arial"/>
                      <w:i/>
                      <w:iCs/>
                      <w:sz w:val="21"/>
                      <w:szCs w:val="21"/>
                      <w:lang w:eastAsia="es-ES"/>
                    </w:rPr>
                    <w:br/>
                    <w:t>Remítase al Órgano Ejecutivo, para fines constitucionales.</w:t>
                  </w:r>
                  <w:r w:rsidRPr="00AB7E85">
                    <w:rPr>
                      <w:rFonts w:ascii="Arial" w:eastAsia="Times New Roman" w:hAnsi="Arial" w:cs="Arial"/>
                      <w:i/>
                      <w:iCs/>
                      <w:sz w:val="21"/>
                      <w:szCs w:val="21"/>
                      <w:lang w:eastAsia="es-ES"/>
                    </w:rPr>
                    <w:br/>
                  </w:r>
                  <w:r w:rsidRPr="00AB7E85">
                    <w:rPr>
                      <w:rFonts w:ascii="Arial" w:eastAsia="Times New Roman" w:hAnsi="Arial" w:cs="Arial"/>
                      <w:i/>
                      <w:iCs/>
                      <w:sz w:val="21"/>
                      <w:szCs w:val="21"/>
                      <w:lang w:eastAsia="es-ES"/>
                    </w:rPr>
                    <w:br/>
                    <w:t>Es dada en la Sala de Sesiones de la Asamblea Legislativa Plurinacional, a los diecisiete días del mes de mayo de dos mil diez años.</w:t>
                  </w:r>
                  <w:r w:rsidRPr="00AB7E85">
                    <w:rPr>
                      <w:rFonts w:ascii="Arial" w:eastAsia="Times New Roman" w:hAnsi="Arial" w:cs="Arial"/>
                      <w:i/>
                      <w:iCs/>
                      <w:sz w:val="21"/>
                      <w:szCs w:val="21"/>
                      <w:lang w:eastAsia="es-ES"/>
                    </w:rPr>
                    <w:br/>
                  </w:r>
                  <w:r w:rsidRPr="00AB7E85">
                    <w:rPr>
                      <w:rFonts w:ascii="Arial" w:eastAsia="Times New Roman" w:hAnsi="Arial" w:cs="Arial"/>
                      <w:i/>
                      <w:iCs/>
                      <w:sz w:val="21"/>
                      <w:szCs w:val="21"/>
                      <w:lang w:eastAsia="es-ES"/>
                    </w:rPr>
                    <w:br/>
                    <w:t xml:space="preserve">Fdo. René Martínez </w:t>
                  </w:r>
                  <w:proofErr w:type="spellStart"/>
                  <w:r w:rsidRPr="00AB7E85">
                    <w:rPr>
                      <w:rFonts w:ascii="Arial" w:eastAsia="Times New Roman" w:hAnsi="Arial" w:cs="Arial"/>
                      <w:i/>
                      <w:iCs/>
                      <w:sz w:val="21"/>
                      <w:szCs w:val="21"/>
                      <w:lang w:eastAsia="es-ES"/>
                    </w:rPr>
                    <w:t>Callahuanca</w:t>
                  </w:r>
                  <w:proofErr w:type="spellEnd"/>
                  <w:r w:rsidRPr="00AB7E85">
                    <w:rPr>
                      <w:rFonts w:ascii="Arial" w:eastAsia="Times New Roman" w:hAnsi="Arial" w:cs="Arial"/>
                      <w:i/>
                      <w:iCs/>
                      <w:sz w:val="21"/>
                      <w:szCs w:val="21"/>
                      <w:lang w:eastAsia="es-ES"/>
                    </w:rPr>
                    <w:t xml:space="preserve">, Héctor Enrique Arce </w:t>
                  </w:r>
                  <w:proofErr w:type="spellStart"/>
                  <w:r w:rsidRPr="00AB7E85">
                    <w:rPr>
                      <w:rFonts w:ascii="Arial" w:eastAsia="Times New Roman" w:hAnsi="Arial" w:cs="Arial"/>
                      <w:i/>
                      <w:iCs/>
                      <w:sz w:val="21"/>
                      <w:szCs w:val="21"/>
                      <w:lang w:eastAsia="es-ES"/>
                    </w:rPr>
                    <w:t>Zaconeta</w:t>
                  </w:r>
                  <w:proofErr w:type="spellEnd"/>
                  <w:r w:rsidRPr="00AB7E85">
                    <w:rPr>
                      <w:rFonts w:ascii="Arial" w:eastAsia="Times New Roman" w:hAnsi="Arial" w:cs="Arial"/>
                      <w:i/>
                      <w:iCs/>
                      <w:sz w:val="21"/>
                      <w:szCs w:val="21"/>
                      <w:lang w:eastAsia="es-ES"/>
                    </w:rPr>
                    <w:t xml:space="preserve">, Andrés </w:t>
                  </w:r>
                  <w:proofErr w:type="spellStart"/>
                  <w:r w:rsidRPr="00AB7E85">
                    <w:rPr>
                      <w:rFonts w:ascii="Arial" w:eastAsia="Times New Roman" w:hAnsi="Arial" w:cs="Arial"/>
                      <w:i/>
                      <w:iCs/>
                      <w:sz w:val="21"/>
                      <w:szCs w:val="21"/>
                      <w:lang w:eastAsia="es-ES"/>
                    </w:rPr>
                    <w:t>Villca</w:t>
                  </w:r>
                  <w:proofErr w:type="spellEnd"/>
                  <w:r w:rsidRPr="00AB7E85">
                    <w:rPr>
                      <w:rFonts w:ascii="Arial" w:eastAsia="Times New Roman" w:hAnsi="Arial" w:cs="Arial"/>
                      <w:i/>
                      <w:iCs/>
                      <w:sz w:val="21"/>
                      <w:szCs w:val="21"/>
                      <w:lang w:eastAsia="es-ES"/>
                    </w:rPr>
                    <w:t xml:space="preserve"> Daza, Clementina Garnica Cruz, </w:t>
                  </w:r>
                  <w:proofErr w:type="spellStart"/>
                  <w:r w:rsidRPr="00AB7E85">
                    <w:rPr>
                      <w:rFonts w:ascii="Arial" w:eastAsia="Times New Roman" w:hAnsi="Arial" w:cs="Arial"/>
                      <w:i/>
                      <w:iCs/>
                      <w:sz w:val="21"/>
                      <w:szCs w:val="21"/>
                      <w:lang w:eastAsia="es-ES"/>
                    </w:rPr>
                    <w:t>Angel</w:t>
                  </w:r>
                  <w:proofErr w:type="spellEnd"/>
                  <w:r w:rsidRPr="00AB7E85">
                    <w:rPr>
                      <w:rFonts w:ascii="Arial" w:eastAsia="Times New Roman" w:hAnsi="Arial" w:cs="Arial"/>
                      <w:i/>
                      <w:iCs/>
                      <w:sz w:val="21"/>
                      <w:szCs w:val="21"/>
                      <w:lang w:eastAsia="es-ES"/>
                    </w:rPr>
                    <w:t xml:space="preserve"> David Cortés Villegas, Juan Luis </w:t>
                  </w:r>
                  <w:proofErr w:type="spellStart"/>
                  <w:r w:rsidRPr="00AB7E85">
                    <w:rPr>
                      <w:rFonts w:ascii="Arial" w:eastAsia="Times New Roman" w:hAnsi="Arial" w:cs="Arial"/>
                      <w:i/>
                      <w:iCs/>
                      <w:sz w:val="21"/>
                      <w:szCs w:val="21"/>
                      <w:lang w:eastAsia="es-ES"/>
                    </w:rPr>
                    <w:t>Gantier</w:t>
                  </w:r>
                  <w:proofErr w:type="spellEnd"/>
                  <w:r w:rsidRPr="00AB7E85">
                    <w:rPr>
                      <w:rFonts w:ascii="Arial" w:eastAsia="Times New Roman" w:hAnsi="Arial" w:cs="Arial"/>
                      <w:i/>
                      <w:iCs/>
                      <w:sz w:val="21"/>
                      <w:szCs w:val="21"/>
                      <w:lang w:eastAsia="es-ES"/>
                    </w:rPr>
                    <w:t xml:space="preserve"> </w:t>
                  </w:r>
                  <w:proofErr w:type="spellStart"/>
                  <w:r w:rsidRPr="00AB7E85">
                    <w:rPr>
                      <w:rFonts w:ascii="Arial" w:eastAsia="Times New Roman" w:hAnsi="Arial" w:cs="Arial"/>
                      <w:i/>
                      <w:iCs/>
                      <w:sz w:val="21"/>
                      <w:szCs w:val="21"/>
                      <w:lang w:eastAsia="es-ES"/>
                    </w:rPr>
                    <w:t>Zelada</w:t>
                  </w:r>
                  <w:proofErr w:type="spellEnd"/>
                  <w:r w:rsidRPr="00AB7E85">
                    <w:rPr>
                      <w:rFonts w:ascii="Arial" w:eastAsia="Times New Roman" w:hAnsi="Arial" w:cs="Arial"/>
                      <w:i/>
                      <w:iCs/>
                      <w:sz w:val="21"/>
                      <w:szCs w:val="21"/>
                      <w:lang w:eastAsia="es-ES"/>
                    </w:rPr>
                    <w:t>.</w:t>
                  </w:r>
                  <w:r w:rsidRPr="00AB7E85">
                    <w:rPr>
                      <w:rFonts w:ascii="Arial" w:eastAsia="Times New Roman" w:hAnsi="Arial" w:cs="Arial"/>
                      <w:i/>
                      <w:iCs/>
                      <w:sz w:val="21"/>
                      <w:szCs w:val="21"/>
                      <w:lang w:eastAsia="es-ES"/>
                    </w:rPr>
                    <w:br/>
                  </w:r>
                  <w:r w:rsidRPr="00AB7E85">
                    <w:rPr>
                      <w:rFonts w:ascii="Arial" w:eastAsia="Times New Roman" w:hAnsi="Arial" w:cs="Arial"/>
                      <w:i/>
                      <w:iCs/>
                      <w:sz w:val="21"/>
                      <w:szCs w:val="21"/>
                      <w:lang w:eastAsia="es-ES"/>
                    </w:rPr>
                    <w:br/>
                    <w:t>Por tanto, la promulgo para que se tenga y cumpla como Ley del Estado Plurinacional de Bolivia.</w:t>
                  </w:r>
                  <w:r w:rsidRPr="00AB7E85">
                    <w:rPr>
                      <w:rFonts w:ascii="Arial" w:eastAsia="Times New Roman" w:hAnsi="Arial" w:cs="Arial"/>
                      <w:i/>
                      <w:iCs/>
                      <w:sz w:val="21"/>
                      <w:szCs w:val="21"/>
                      <w:lang w:eastAsia="es-ES"/>
                    </w:rPr>
                    <w:br/>
                  </w:r>
                  <w:r w:rsidRPr="00AB7E85">
                    <w:rPr>
                      <w:rFonts w:ascii="Arial" w:eastAsia="Times New Roman" w:hAnsi="Arial" w:cs="Arial"/>
                      <w:i/>
                      <w:iCs/>
                      <w:sz w:val="21"/>
                      <w:szCs w:val="21"/>
                      <w:lang w:eastAsia="es-ES"/>
                    </w:rPr>
                    <w:br/>
                    <w:t>Palacio de Gobierno de la ciudad de La Paz, a los dieciocho días del mes de mayo de dos mil diez años.</w:t>
                  </w:r>
                  <w:r w:rsidRPr="00AB7E85">
                    <w:rPr>
                      <w:rFonts w:ascii="Arial" w:eastAsia="Times New Roman" w:hAnsi="Arial" w:cs="Arial"/>
                      <w:i/>
                      <w:iCs/>
                      <w:sz w:val="21"/>
                      <w:szCs w:val="21"/>
                      <w:lang w:eastAsia="es-ES"/>
                    </w:rPr>
                    <w:br/>
                  </w:r>
                  <w:r w:rsidRPr="00AB7E85">
                    <w:rPr>
                      <w:rFonts w:ascii="Arial" w:eastAsia="Times New Roman" w:hAnsi="Arial" w:cs="Arial"/>
                      <w:i/>
                      <w:iCs/>
                      <w:sz w:val="21"/>
                      <w:szCs w:val="21"/>
                      <w:lang w:eastAsia="es-ES"/>
                    </w:rPr>
                    <w:br/>
                  </w:r>
                  <w:r w:rsidRPr="00AB7E85">
                    <w:rPr>
                      <w:rFonts w:ascii="Arial" w:eastAsia="Times New Roman" w:hAnsi="Arial" w:cs="Arial"/>
                      <w:b/>
                      <w:bCs/>
                      <w:i/>
                      <w:iCs/>
                      <w:sz w:val="21"/>
                      <w:szCs w:val="21"/>
                      <w:lang w:eastAsia="es-ES"/>
                    </w:rPr>
                    <w:t>FDO. ÁLVARO MARCELO GARCIA LINERA,</w:t>
                  </w:r>
                  <w:r w:rsidRPr="00AB7E85">
                    <w:rPr>
                      <w:rFonts w:ascii="Arial" w:eastAsia="Times New Roman" w:hAnsi="Arial" w:cs="Arial"/>
                      <w:i/>
                      <w:iCs/>
                      <w:sz w:val="21"/>
                      <w:szCs w:val="21"/>
                      <w:lang w:eastAsia="es-ES"/>
                    </w:rPr>
                    <w:t xml:space="preserve"> Oscar Coca </w:t>
                  </w:r>
                  <w:proofErr w:type="spellStart"/>
                  <w:r w:rsidRPr="00AB7E85">
                    <w:rPr>
                      <w:rFonts w:ascii="Arial" w:eastAsia="Times New Roman" w:hAnsi="Arial" w:cs="Arial"/>
                      <w:i/>
                      <w:iCs/>
                      <w:sz w:val="21"/>
                      <w:szCs w:val="21"/>
                      <w:lang w:eastAsia="es-ES"/>
                    </w:rPr>
                    <w:t>Antezana</w:t>
                  </w:r>
                  <w:proofErr w:type="spellEnd"/>
                  <w:r w:rsidRPr="00AB7E85">
                    <w:rPr>
                      <w:rFonts w:ascii="Arial" w:eastAsia="Times New Roman" w:hAnsi="Arial" w:cs="Arial"/>
                      <w:i/>
                      <w:iCs/>
                      <w:sz w:val="21"/>
                      <w:szCs w:val="21"/>
                      <w:lang w:eastAsia="es-ES"/>
                    </w:rPr>
                    <w:t xml:space="preserve">, </w:t>
                  </w:r>
                  <w:proofErr w:type="spellStart"/>
                  <w:r w:rsidRPr="00AB7E85">
                    <w:rPr>
                      <w:rFonts w:ascii="Arial" w:eastAsia="Times New Roman" w:hAnsi="Arial" w:cs="Arial"/>
                      <w:i/>
                      <w:iCs/>
                      <w:sz w:val="21"/>
                      <w:szCs w:val="21"/>
                      <w:lang w:eastAsia="es-ES"/>
                    </w:rPr>
                    <w:t>Nilda</w:t>
                  </w:r>
                  <w:proofErr w:type="spellEnd"/>
                  <w:r w:rsidRPr="00AB7E85">
                    <w:rPr>
                      <w:rFonts w:ascii="Arial" w:eastAsia="Times New Roman" w:hAnsi="Arial" w:cs="Arial"/>
                      <w:i/>
                      <w:iCs/>
                      <w:sz w:val="21"/>
                      <w:szCs w:val="21"/>
                      <w:lang w:eastAsia="es-ES"/>
                    </w:rPr>
                    <w:t xml:space="preserve"> Copa Condori, </w:t>
                  </w:r>
                  <w:proofErr w:type="spellStart"/>
                  <w:r w:rsidRPr="00AB7E85">
                    <w:rPr>
                      <w:rFonts w:ascii="Arial" w:eastAsia="Times New Roman" w:hAnsi="Arial" w:cs="Arial"/>
                      <w:i/>
                      <w:iCs/>
                      <w:sz w:val="21"/>
                      <w:szCs w:val="21"/>
                      <w:lang w:eastAsia="es-ES"/>
                    </w:rPr>
                    <w:t>Nardy</w:t>
                  </w:r>
                  <w:proofErr w:type="spellEnd"/>
                  <w:r w:rsidRPr="00AB7E85">
                    <w:rPr>
                      <w:rFonts w:ascii="Arial" w:eastAsia="Times New Roman" w:hAnsi="Arial" w:cs="Arial"/>
                      <w:i/>
                      <w:iCs/>
                      <w:sz w:val="21"/>
                      <w:szCs w:val="21"/>
                      <w:lang w:eastAsia="es-ES"/>
                    </w:rPr>
                    <w:t xml:space="preserve"> </w:t>
                  </w:r>
                  <w:proofErr w:type="spellStart"/>
                  <w:r w:rsidRPr="00AB7E85">
                    <w:rPr>
                      <w:rFonts w:ascii="Arial" w:eastAsia="Times New Roman" w:hAnsi="Arial" w:cs="Arial"/>
                      <w:i/>
                      <w:iCs/>
                      <w:sz w:val="21"/>
                      <w:szCs w:val="21"/>
                      <w:lang w:eastAsia="es-ES"/>
                    </w:rPr>
                    <w:t>Suxo</w:t>
                  </w:r>
                  <w:proofErr w:type="spellEnd"/>
                  <w:r w:rsidRPr="00AB7E85">
                    <w:rPr>
                      <w:rFonts w:ascii="Arial" w:eastAsia="Times New Roman" w:hAnsi="Arial" w:cs="Arial"/>
                      <w:i/>
                      <w:iCs/>
                      <w:sz w:val="21"/>
                      <w:szCs w:val="21"/>
                      <w:lang w:eastAsia="es-ES"/>
                    </w:rPr>
                    <w:t xml:space="preserve"> </w:t>
                  </w:r>
                  <w:proofErr w:type="spellStart"/>
                  <w:r w:rsidRPr="00AB7E85">
                    <w:rPr>
                      <w:rFonts w:ascii="Arial" w:eastAsia="Times New Roman" w:hAnsi="Arial" w:cs="Arial"/>
                      <w:i/>
                      <w:iCs/>
                      <w:sz w:val="21"/>
                      <w:szCs w:val="21"/>
                      <w:lang w:eastAsia="es-ES"/>
                    </w:rPr>
                    <w:t>Iturri</w:t>
                  </w:r>
                  <w:proofErr w:type="spellEnd"/>
                  <w:r w:rsidRPr="00AB7E85">
                    <w:rPr>
                      <w:rFonts w:ascii="Arial" w:eastAsia="Times New Roman" w:hAnsi="Arial" w:cs="Arial"/>
                      <w:i/>
                      <w:iCs/>
                      <w:sz w:val="21"/>
                      <w:szCs w:val="21"/>
                      <w:lang w:eastAsia="es-ES"/>
                    </w:rPr>
                    <w:t>.</w:t>
                  </w:r>
                </w:p>
              </w:tc>
            </w:tr>
          </w:tbl>
          <w:p w:rsidR="00AB7E85" w:rsidRPr="00AB7E85" w:rsidRDefault="00AB7E85" w:rsidP="00AB7E85">
            <w:pPr>
              <w:spacing w:after="0" w:line="240" w:lineRule="auto"/>
              <w:rPr>
                <w:rFonts w:ascii="Arial" w:eastAsia="Times New Roman" w:hAnsi="Arial" w:cs="Arial"/>
                <w:sz w:val="21"/>
                <w:szCs w:val="21"/>
                <w:lang w:eastAsia="es-ES"/>
              </w:rPr>
            </w:pPr>
          </w:p>
        </w:tc>
      </w:tr>
    </w:tbl>
    <w:p w:rsidR="000B0F27" w:rsidRPr="00AB7E85" w:rsidRDefault="00435496"/>
    <w:sectPr w:rsidR="000B0F27" w:rsidRPr="00AB7E85" w:rsidSect="00E02D5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7E85"/>
    <w:rsid w:val="00435496"/>
    <w:rsid w:val="004C0D6E"/>
    <w:rsid w:val="00AB7E85"/>
    <w:rsid w:val="00AC0CCA"/>
    <w:rsid w:val="00B03337"/>
    <w:rsid w:val="00E02D5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D5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AB7E85"/>
    <w:rPr>
      <w:strike w:val="0"/>
      <w:dstrike w:val="0"/>
      <w:color w:val="000000"/>
      <w:u w:val="none"/>
      <w:effect w:val="none"/>
      <w:shd w:val="clear" w:color="auto" w:fill="auto"/>
    </w:rPr>
  </w:style>
  <w:style w:type="character" w:styleId="Hipervnculovisitado">
    <w:name w:val="FollowedHyperlink"/>
    <w:basedOn w:val="Fuentedeprrafopredeter"/>
    <w:uiPriority w:val="99"/>
    <w:semiHidden/>
    <w:unhideWhenUsed/>
    <w:rsid w:val="00AB7E85"/>
    <w:rPr>
      <w:strike w:val="0"/>
      <w:dstrike w:val="0"/>
      <w:color w:val="000000"/>
      <w:u w:val="none"/>
      <w:effect w:val="none"/>
      <w:shd w:val="clear" w:color="auto" w:fill="auto"/>
    </w:rPr>
  </w:style>
  <w:style w:type="paragraph" w:styleId="NormalWeb">
    <w:name w:val="Normal (Web)"/>
    <w:basedOn w:val="Normal"/>
    <w:uiPriority w:val="99"/>
    <w:unhideWhenUsed/>
    <w:rsid w:val="00AB7E8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menuprincipal">
    <w:name w:val="menuprincipal"/>
    <w:basedOn w:val="Normal"/>
    <w:rsid w:val="00AB7E85"/>
    <w:pPr>
      <w:shd w:val="clear" w:color="auto" w:fill="CCCCCC"/>
      <w:spacing w:before="100" w:beforeAutospacing="1" w:after="100" w:afterAutospacing="1" w:line="240" w:lineRule="auto"/>
    </w:pPr>
    <w:rPr>
      <w:rFonts w:ascii="Verdana" w:eastAsia="Times New Roman" w:hAnsi="Verdana" w:cs="Times New Roman"/>
      <w:sz w:val="24"/>
      <w:szCs w:val="24"/>
      <w:lang w:eastAsia="es-ES"/>
    </w:rPr>
  </w:style>
  <w:style w:type="paragraph" w:customStyle="1" w:styleId="contenido">
    <w:name w:val="contenido"/>
    <w:basedOn w:val="Normal"/>
    <w:rsid w:val="00AB7E8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extomodificado">
    <w:name w:val="textomodificado"/>
    <w:basedOn w:val="Normal"/>
    <w:rsid w:val="00AB7E85"/>
    <w:pPr>
      <w:spacing w:before="100" w:beforeAutospacing="1" w:after="100" w:afterAutospacing="1" w:line="240" w:lineRule="auto"/>
    </w:pPr>
    <w:rPr>
      <w:rFonts w:ascii="Times New Roman" w:eastAsia="Times New Roman" w:hAnsi="Times New Roman" w:cs="Times New Roman"/>
      <w:i/>
      <w:iCs/>
      <w:color w:val="000000"/>
      <w:sz w:val="24"/>
      <w:szCs w:val="24"/>
      <w:lang w:eastAsia="es-ES"/>
    </w:rPr>
  </w:style>
  <w:style w:type="paragraph" w:customStyle="1" w:styleId="boldfont">
    <w:name w:val="boldfont"/>
    <w:basedOn w:val="Normal"/>
    <w:rsid w:val="00AB7E85"/>
    <w:pPr>
      <w:spacing w:before="100" w:beforeAutospacing="1" w:after="100" w:afterAutospacing="1" w:line="240" w:lineRule="auto"/>
    </w:pPr>
    <w:rPr>
      <w:rFonts w:ascii="Times New Roman" w:eastAsia="Times New Roman" w:hAnsi="Times New Roman" w:cs="Times New Roman"/>
      <w:b/>
      <w:bCs/>
      <w:sz w:val="24"/>
      <w:szCs w:val="24"/>
      <w:lang w:eastAsia="es-ES"/>
    </w:rPr>
  </w:style>
  <w:style w:type="paragraph" w:customStyle="1" w:styleId="searchbartitle">
    <w:name w:val="searchbartitle"/>
    <w:basedOn w:val="Normal"/>
    <w:rsid w:val="00AB7E85"/>
    <w:pPr>
      <w:shd w:val="clear" w:color="auto" w:fill="BBBBBB"/>
      <w:spacing w:before="100" w:beforeAutospacing="1" w:after="100" w:afterAutospacing="1" w:line="240" w:lineRule="auto"/>
    </w:pPr>
    <w:rPr>
      <w:rFonts w:ascii="Verdana" w:eastAsia="Times New Roman" w:hAnsi="Verdana" w:cs="Times New Roman"/>
      <w:b/>
      <w:bCs/>
      <w:color w:val="6C6C6C"/>
      <w:sz w:val="14"/>
      <w:szCs w:val="14"/>
      <w:lang w:eastAsia="es-ES"/>
    </w:rPr>
  </w:style>
  <w:style w:type="paragraph" w:customStyle="1" w:styleId="searchbarform">
    <w:name w:val="searchbarform"/>
    <w:basedOn w:val="Normal"/>
    <w:rsid w:val="00AB7E85"/>
    <w:pPr>
      <w:pBdr>
        <w:top w:val="single" w:sz="6" w:space="0" w:color="818181"/>
        <w:left w:val="single" w:sz="6" w:space="0" w:color="818181"/>
        <w:bottom w:val="single" w:sz="6" w:space="0" w:color="818181"/>
        <w:right w:val="single" w:sz="6" w:space="0" w:color="818181"/>
      </w:pBdr>
      <w:shd w:val="clear" w:color="auto" w:fill="F5F5F5"/>
      <w:spacing w:before="100" w:beforeAutospacing="1" w:after="100" w:afterAutospacing="1" w:line="240" w:lineRule="auto"/>
    </w:pPr>
    <w:rPr>
      <w:rFonts w:ascii="Verdana" w:eastAsia="Times New Roman" w:hAnsi="Verdana" w:cs="Times New Roman"/>
      <w:sz w:val="14"/>
      <w:szCs w:val="14"/>
      <w:lang w:eastAsia="es-ES"/>
    </w:rPr>
  </w:style>
  <w:style w:type="paragraph" w:customStyle="1" w:styleId="searchbarformbutton">
    <w:name w:val="searchbarformbutton"/>
    <w:basedOn w:val="Normal"/>
    <w:rsid w:val="00AB7E85"/>
    <w:pPr>
      <w:pBdr>
        <w:top w:val="single" w:sz="6" w:space="0" w:color="818181"/>
        <w:left w:val="single" w:sz="6" w:space="0" w:color="818181"/>
        <w:bottom w:val="single" w:sz="6" w:space="0" w:color="818181"/>
        <w:right w:val="single" w:sz="6" w:space="0" w:color="818181"/>
      </w:pBdr>
      <w:shd w:val="clear" w:color="auto" w:fill="C4C4C4"/>
      <w:spacing w:before="100" w:beforeAutospacing="1" w:after="100" w:afterAutospacing="1" w:line="240" w:lineRule="auto"/>
    </w:pPr>
    <w:rPr>
      <w:rFonts w:ascii="Verdana" w:eastAsia="Times New Roman" w:hAnsi="Verdana" w:cs="Times New Roman"/>
      <w:sz w:val="14"/>
      <w:szCs w:val="14"/>
      <w:lang w:eastAsia="es-ES"/>
    </w:rPr>
  </w:style>
  <w:style w:type="paragraph" w:customStyle="1" w:styleId="searchbarcontent">
    <w:name w:val="searchbarcontent"/>
    <w:basedOn w:val="Normal"/>
    <w:rsid w:val="00AB7E85"/>
    <w:pPr>
      <w:pBdr>
        <w:bottom w:val="single" w:sz="6" w:space="0" w:color="999999"/>
      </w:pBdr>
      <w:spacing w:before="100" w:beforeAutospacing="1" w:after="100" w:afterAutospacing="1" w:line="240" w:lineRule="auto"/>
    </w:pPr>
    <w:rPr>
      <w:rFonts w:ascii="Verdana" w:eastAsia="Times New Roman" w:hAnsi="Verdana" w:cs="Times New Roman"/>
      <w:color w:val="666666"/>
      <w:sz w:val="14"/>
      <w:szCs w:val="14"/>
      <w:lang w:eastAsia="es-ES"/>
    </w:rPr>
  </w:style>
  <w:style w:type="paragraph" w:customStyle="1" w:styleId="searchbarcontent2">
    <w:name w:val="searchbarcontent2"/>
    <w:basedOn w:val="Normal"/>
    <w:rsid w:val="00AB7E85"/>
    <w:pPr>
      <w:pBdr>
        <w:bottom w:val="single" w:sz="6" w:space="0" w:color="999999"/>
      </w:pBdr>
      <w:spacing w:before="100" w:beforeAutospacing="1" w:after="100" w:afterAutospacing="1" w:line="240" w:lineRule="auto"/>
    </w:pPr>
    <w:rPr>
      <w:rFonts w:ascii="Verdana" w:eastAsia="Times New Roman" w:hAnsi="Verdana" w:cs="Times New Roman"/>
      <w:color w:val="666666"/>
      <w:sz w:val="14"/>
      <w:szCs w:val="14"/>
      <w:lang w:eastAsia="es-ES"/>
    </w:rPr>
  </w:style>
  <w:style w:type="paragraph" w:customStyle="1" w:styleId="searchbarnormopttable">
    <w:name w:val="searchbarnormopttable"/>
    <w:basedOn w:val="Normal"/>
    <w:rsid w:val="00AB7E85"/>
    <w:pPr>
      <w:pBdr>
        <w:top w:val="single" w:sz="6" w:space="0" w:color="999999"/>
        <w:left w:val="single" w:sz="6" w:space="0" w:color="999999"/>
      </w:pBdr>
      <w:spacing w:before="100" w:beforeAutospacing="1" w:after="100" w:afterAutospacing="1" w:line="240" w:lineRule="auto"/>
    </w:pPr>
    <w:rPr>
      <w:rFonts w:ascii="Times New Roman" w:eastAsia="Times New Roman" w:hAnsi="Times New Roman" w:cs="Times New Roman"/>
      <w:color w:val="999999"/>
      <w:sz w:val="15"/>
      <w:szCs w:val="15"/>
      <w:lang w:eastAsia="es-ES"/>
    </w:rPr>
  </w:style>
  <w:style w:type="paragraph" w:customStyle="1" w:styleId="searchbarsearchtext">
    <w:name w:val="searchbarsearchtext"/>
    <w:basedOn w:val="Normal"/>
    <w:rsid w:val="00AB7E85"/>
    <w:pPr>
      <w:pBdr>
        <w:top w:val="single" w:sz="6" w:space="0" w:color="818181"/>
        <w:left w:val="single" w:sz="6" w:space="0" w:color="818181"/>
        <w:bottom w:val="single" w:sz="6" w:space="0" w:color="818181"/>
        <w:right w:val="single" w:sz="6" w:space="0" w:color="818181"/>
      </w:pBdr>
      <w:shd w:val="clear" w:color="auto" w:fill="F5F5F5"/>
      <w:spacing w:before="100" w:beforeAutospacing="1" w:after="100" w:afterAutospacing="1" w:line="240" w:lineRule="auto"/>
    </w:pPr>
    <w:rPr>
      <w:rFonts w:ascii="Verdana" w:eastAsia="Times New Roman" w:hAnsi="Verdana" w:cs="Times New Roman"/>
      <w:color w:val="999999"/>
      <w:sz w:val="24"/>
      <w:szCs w:val="24"/>
      <w:lang w:eastAsia="es-ES"/>
    </w:rPr>
  </w:style>
  <w:style w:type="paragraph" w:customStyle="1" w:styleId="searchbarsearchtextbutton">
    <w:name w:val="searchbarsearchtextbutton"/>
    <w:basedOn w:val="Normal"/>
    <w:rsid w:val="00AB7E85"/>
    <w:pPr>
      <w:pBdr>
        <w:left w:val="single" w:sz="6" w:space="0" w:color="999999"/>
      </w:pBdr>
      <w:shd w:val="clear" w:color="auto" w:fill="C4C4C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searchbarsearchtextbuttonover">
    <w:name w:val="searchbarsearchtextbuttonover"/>
    <w:basedOn w:val="Normal"/>
    <w:rsid w:val="00AB7E85"/>
    <w:pPr>
      <w:pBdr>
        <w:left w:val="single" w:sz="6" w:space="0" w:color="999999"/>
      </w:pBdr>
      <w:shd w:val="clear" w:color="auto" w:fill="E2ECF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searchbarsearchtextbuttonpressed">
    <w:name w:val="searchbarsearchtextbuttonpressed"/>
    <w:basedOn w:val="Normal"/>
    <w:rsid w:val="00AB7E85"/>
    <w:pPr>
      <w:pBdr>
        <w:left w:val="single" w:sz="6" w:space="0" w:color="999999"/>
      </w:pBdr>
      <w:shd w:val="clear" w:color="auto" w:fill="E2ECF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searchbarsearchtextform">
    <w:name w:val="searchbarsearchtextform"/>
    <w:basedOn w:val="Normal"/>
    <w:rsid w:val="00AB7E85"/>
    <w:pPr>
      <w:shd w:val="clear" w:color="auto" w:fill="F5F5F5"/>
      <w:spacing w:before="100" w:beforeAutospacing="1" w:after="100" w:afterAutospacing="1" w:line="240" w:lineRule="auto"/>
    </w:pPr>
    <w:rPr>
      <w:rFonts w:ascii="Verdana" w:eastAsia="Times New Roman" w:hAnsi="Verdana" w:cs="Times New Roman"/>
      <w:i/>
      <w:iCs/>
      <w:color w:val="999999"/>
      <w:sz w:val="14"/>
      <w:szCs w:val="14"/>
      <w:lang w:eastAsia="es-ES"/>
    </w:rPr>
  </w:style>
  <w:style w:type="paragraph" w:customStyle="1" w:styleId="searchbarsearchtextformfocused">
    <w:name w:val="searchbarsearchtextformfocused"/>
    <w:basedOn w:val="Normal"/>
    <w:rsid w:val="00AB7E85"/>
    <w:pPr>
      <w:shd w:val="clear" w:color="auto" w:fill="F5F5F5"/>
      <w:spacing w:before="100" w:beforeAutospacing="1" w:after="100" w:afterAutospacing="1" w:line="240" w:lineRule="auto"/>
    </w:pPr>
    <w:rPr>
      <w:rFonts w:ascii="Verdana" w:eastAsia="Times New Roman" w:hAnsi="Verdana" w:cs="Times New Roman"/>
      <w:sz w:val="14"/>
      <w:szCs w:val="14"/>
      <w:lang w:eastAsia="es-ES"/>
    </w:rPr>
  </w:style>
  <w:style w:type="paragraph" w:customStyle="1" w:styleId="searchbarsearchtextadvanced">
    <w:name w:val="searchbarsearchtextadvanced"/>
    <w:basedOn w:val="Normal"/>
    <w:rsid w:val="00AB7E85"/>
    <w:pPr>
      <w:pBdr>
        <w:right w:val="single" w:sz="6" w:space="0" w:color="999999"/>
      </w:pBdr>
      <w:shd w:val="clear" w:color="auto" w:fill="DFDFD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searchbarsearchtextadvancedover">
    <w:name w:val="searchbarsearchtextadvancedover"/>
    <w:basedOn w:val="Normal"/>
    <w:rsid w:val="00AB7E85"/>
    <w:pPr>
      <w:pBdr>
        <w:right w:val="single" w:sz="6" w:space="0" w:color="999999"/>
      </w:pBdr>
      <w:shd w:val="clear" w:color="auto" w:fill="E2ECF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searchbarsearchtextadvancedpressed">
    <w:name w:val="searchbarsearchtextadvancedpressed"/>
    <w:basedOn w:val="Normal"/>
    <w:rsid w:val="00AB7E85"/>
    <w:pPr>
      <w:pBdr>
        <w:right w:val="single" w:sz="6" w:space="0" w:color="999999"/>
      </w:pBdr>
      <w:shd w:val="clear" w:color="auto" w:fill="E2ECF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searchbarsearchlist">
    <w:name w:val="searchbarsearchlist"/>
    <w:basedOn w:val="Normal"/>
    <w:rsid w:val="00AB7E85"/>
    <w:pPr>
      <w:pBdr>
        <w:top w:val="single" w:sz="6" w:space="0" w:color="818181"/>
        <w:left w:val="single" w:sz="6" w:space="0" w:color="818181"/>
        <w:bottom w:val="single" w:sz="6" w:space="0" w:color="818181"/>
        <w:right w:val="single" w:sz="6" w:space="0" w:color="818181"/>
      </w:pBdr>
      <w:shd w:val="clear" w:color="auto" w:fill="DFDFDF"/>
      <w:spacing w:before="100" w:beforeAutospacing="1" w:after="100" w:afterAutospacing="1" w:line="240" w:lineRule="auto"/>
    </w:pPr>
    <w:rPr>
      <w:rFonts w:ascii="Verdana" w:eastAsia="Times New Roman" w:hAnsi="Verdana" w:cs="Times New Roman"/>
      <w:color w:val="666666"/>
      <w:sz w:val="24"/>
      <w:szCs w:val="24"/>
      <w:lang w:eastAsia="es-ES"/>
    </w:rPr>
  </w:style>
  <w:style w:type="paragraph" w:customStyle="1" w:styleId="searchbarsearchlistover">
    <w:name w:val="searchbarsearchlistover"/>
    <w:basedOn w:val="Normal"/>
    <w:rsid w:val="00AB7E85"/>
    <w:pPr>
      <w:pBdr>
        <w:top w:val="single" w:sz="6" w:space="0" w:color="818181"/>
        <w:left w:val="single" w:sz="6" w:space="0" w:color="818181"/>
        <w:bottom w:val="single" w:sz="6" w:space="0" w:color="818181"/>
        <w:right w:val="single" w:sz="6" w:space="0" w:color="818181"/>
      </w:pBdr>
      <w:shd w:val="clear" w:color="auto" w:fill="E2ECF6"/>
      <w:spacing w:before="100" w:beforeAutospacing="1" w:after="100" w:afterAutospacing="1" w:line="240" w:lineRule="auto"/>
    </w:pPr>
    <w:rPr>
      <w:rFonts w:ascii="Verdana" w:eastAsia="Times New Roman" w:hAnsi="Verdana" w:cs="Times New Roman"/>
      <w:color w:val="666666"/>
      <w:sz w:val="24"/>
      <w:szCs w:val="24"/>
      <w:lang w:eastAsia="es-ES"/>
    </w:rPr>
  </w:style>
  <w:style w:type="paragraph" w:customStyle="1" w:styleId="searchbarsearchlistpressed">
    <w:name w:val="searchbarsearchlistpressed"/>
    <w:basedOn w:val="Normal"/>
    <w:rsid w:val="00AB7E85"/>
    <w:pPr>
      <w:pBdr>
        <w:top w:val="single" w:sz="6" w:space="0" w:color="818181"/>
        <w:left w:val="single" w:sz="6" w:space="0" w:color="818181"/>
        <w:bottom w:val="single" w:sz="6" w:space="0" w:color="818181"/>
        <w:right w:val="single" w:sz="6" w:space="0" w:color="818181"/>
      </w:pBdr>
      <w:shd w:val="clear" w:color="auto" w:fill="E2ECF6"/>
      <w:spacing w:before="100" w:beforeAutospacing="1" w:after="100" w:afterAutospacing="1" w:line="240" w:lineRule="auto"/>
    </w:pPr>
    <w:rPr>
      <w:rFonts w:ascii="Verdana" w:eastAsia="Times New Roman" w:hAnsi="Verdana" w:cs="Times New Roman"/>
      <w:color w:val="666666"/>
      <w:sz w:val="24"/>
      <w:szCs w:val="24"/>
      <w:lang w:eastAsia="es-ES"/>
    </w:rPr>
  </w:style>
  <w:style w:type="paragraph" w:customStyle="1" w:styleId="searchbarsearchlistbutton">
    <w:name w:val="searchbarsearchlistbutton"/>
    <w:basedOn w:val="Normal"/>
    <w:rsid w:val="00AB7E8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searchbarsearchcategoryform">
    <w:name w:val="searchbarsearchcategoryform"/>
    <w:basedOn w:val="Normal"/>
    <w:rsid w:val="00AB7E85"/>
    <w:pPr>
      <w:pBdr>
        <w:top w:val="single" w:sz="6" w:space="0" w:color="818181"/>
        <w:left w:val="single" w:sz="6" w:space="0" w:color="818181"/>
        <w:bottom w:val="single" w:sz="6" w:space="0" w:color="818181"/>
        <w:right w:val="single" w:sz="6" w:space="0" w:color="818181"/>
      </w:pBdr>
      <w:shd w:val="clear" w:color="auto" w:fill="F5F5F5"/>
      <w:spacing w:before="100" w:beforeAutospacing="1" w:after="100" w:afterAutospacing="1" w:line="240" w:lineRule="auto"/>
      <w:textAlignment w:val="center"/>
    </w:pPr>
    <w:rPr>
      <w:rFonts w:ascii="Verdana" w:eastAsia="Times New Roman" w:hAnsi="Verdana" w:cs="Times New Roman"/>
      <w:sz w:val="14"/>
      <w:szCs w:val="14"/>
      <w:lang w:eastAsia="es-ES"/>
    </w:rPr>
  </w:style>
  <w:style w:type="paragraph" w:customStyle="1" w:styleId="advancedsearch">
    <w:name w:val="advancedsearch"/>
    <w:basedOn w:val="Normal"/>
    <w:rsid w:val="00AB7E85"/>
    <w:pPr>
      <w:shd w:val="clear" w:color="auto" w:fill="FFFFFF"/>
      <w:spacing w:before="100" w:beforeAutospacing="1" w:after="100" w:afterAutospacing="1" w:line="240" w:lineRule="auto"/>
      <w:jc w:val="both"/>
    </w:pPr>
    <w:rPr>
      <w:rFonts w:ascii="Verdana" w:eastAsia="Times New Roman" w:hAnsi="Verdana" w:cs="Times New Roman"/>
      <w:color w:val="666666"/>
      <w:sz w:val="14"/>
      <w:szCs w:val="14"/>
      <w:lang w:eastAsia="es-ES"/>
    </w:rPr>
  </w:style>
  <w:style w:type="paragraph" w:customStyle="1" w:styleId="advancedsearchinfomessage">
    <w:name w:val="advancedsearchinfomessage"/>
    <w:basedOn w:val="Normal"/>
    <w:rsid w:val="00AB7E85"/>
    <w:pPr>
      <w:spacing w:before="100" w:beforeAutospacing="1" w:after="100" w:afterAutospacing="1" w:line="240" w:lineRule="auto"/>
    </w:pPr>
    <w:rPr>
      <w:rFonts w:ascii="Times New Roman" w:eastAsia="Times New Roman" w:hAnsi="Times New Roman" w:cs="Times New Roman"/>
      <w:color w:val="999999"/>
      <w:sz w:val="24"/>
      <w:szCs w:val="24"/>
      <w:lang w:eastAsia="es-ES"/>
    </w:rPr>
  </w:style>
  <w:style w:type="paragraph" w:customStyle="1" w:styleId="advancedsearchlabel">
    <w:name w:val="advancedsearchlabel"/>
    <w:basedOn w:val="Normal"/>
    <w:rsid w:val="00AB7E85"/>
    <w:pPr>
      <w:spacing w:before="100" w:beforeAutospacing="1" w:after="100" w:afterAutospacing="1" w:line="240" w:lineRule="auto"/>
    </w:pPr>
    <w:rPr>
      <w:rFonts w:ascii="Times New Roman" w:eastAsia="Times New Roman" w:hAnsi="Times New Roman" w:cs="Times New Roman"/>
      <w:b/>
      <w:bCs/>
      <w:sz w:val="24"/>
      <w:szCs w:val="24"/>
      <w:lang w:eastAsia="es-ES"/>
    </w:rPr>
  </w:style>
  <w:style w:type="paragraph" w:customStyle="1" w:styleId="advancedsearchcombobox">
    <w:name w:val="advancedsearchcombobox"/>
    <w:basedOn w:val="Normal"/>
    <w:rsid w:val="00AB7E85"/>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Verdana" w:eastAsia="Times New Roman" w:hAnsi="Verdana" w:cs="Times New Roman"/>
      <w:color w:val="666666"/>
      <w:sz w:val="14"/>
      <w:szCs w:val="14"/>
      <w:lang w:eastAsia="es-ES"/>
    </w:rPr>
  </w:style>
  <w:style w:type="paragraph" w:customStyle="1" w:styleId="advancedsearchcomboboxitem">
    <w:name w:val="advancedsearchcomboboxitem"/>
    <w:basedOn w:val="Normal"/>
    <w:rsid w:val="00AB7E85"/>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empobj">
    <w:name w:val="tempobj"/>
    <w:basedOn w:val="Normal"/>
    <w:rsid w:val="00AB7E85"/>
    <w:pPr>
      <w:shd w:val="clear" w:color="auto" w:fill="E5E5E5"/>
      <w:spacing w:before="100" w:beforeAutospacing="1" w:after="100" w:afterAutospacing="1" w:line="240" w:lineRule="auto"/>
    </w:pPr>
    <w:rPr>
      <w:rFonts w:ascii="Times New Roman" w:eastAsia="Times New Roman" w:hAnsi="Times New Roman" w:cs="Times New Roman"/>
      <w:color w:val="000000"/>
      <w:sz w:val="17"/>
      <w:szCs w:val="17"/>
      <w:lang w:eastAsia="es-ES"/>
    </w:rPr>
  </w:style>
  <w:style w:type="paragraph" w:customStyle="1" w:styleId="adminerror">
    <w:name w:val="adminerror"/>
    <w:basedOn w:val="Normal"/>
    <w:rsid w:val="00AB7E85"/>
    <w:pPr>
      <w:shd w:val="clear" w:color="auto" w:fill="9F5148"/>
      <w:spacing w:before="100" w:beforeAutospacing="1" w:after="100" w:afterAutospacing="1" w:line="240" w:lineRule="auto"/>
    </w:pPr>
    <w:rPr>
      <w:rFonts w:ascii="Times New Roman" w:eastAsia="Times New Roman" w:hAnsi="Times New Roman" w:cs="Times New Roman"/>
      <w:b/>
      <w:bCs/>
      <w:color w:val="FFFFFF"/>
      <w:sz w:val="24"/>
      <w:szCs w:val="24"/>
      <w:lang w:eastAsia="es-ES"/>
    </w:rPr>
  </w:style>
  <w:style w:type="paragraph" w:customStyle="1" w:styleId="formwarning">
    <w:name w:val="formwarning"/>
    <w:basedOn w:val="Normal"/>
    <w:rsid w:val="00AB7E85"/>
    <w:pPr>
      <w:shd w:val="clear" w:color="auto" w:fill="009900"/>
      <w:spacing w:before="100" w:beforeAutospacing="1" w:after="100" w:afterAutospacing="1" w:line="240" w:lineRule="auto"/>
    </w:pPr>
    <w:rPr>
      <w:rFonts w:ascii="Times New Roman" w:eastAsia="Times New Roman" w:hAnsi="Times New Roman" w:cs="Times New Roman"/>
      <w:b/>
      <w:bCs/>
      <w:color w:val="FFFFFF"/>
      <w:sz w:val="24"/>
      <w:szCs w:val="24"/>
      <w:lang w:eastAsia="es-ES"/>
    </w:rPr>
  </w:style>
  <w:style w:type="paragraph" w:customStyle="1" w:styleId="adminoptiontitle">
    <w:name w:val="adminoptiontitle"/>
    <w:basedOn w:val="Normal"/>
    <w:rsid w:val="00AB7E85"/>
    <w:pPr>
      <w:spacing w:before="100" w:beforeAutospacing="1" w:after="100" w:afterAutospacing="1" w:line="240" w:lineRule="auto"/>
    </w:pPr>
    <w:rPr>
      <w:rFonts w:ascii="Times New Roman" w:eastAsia="Times New Roman" w:hAnsi="Times New Roman" w:cs="Times New Roman"/>
      <w:color w:val="FF6600"/>
      <w:sz w:val="24"/>
      <w:szCs w:val="24"/>
      <w:lang w:eastAsia="es-ES"/>
    </w:rPr>
  </w:style>
  <w:style w:type="paragraph" w:customStyle="1" w:styleId="adminasppsearchtext">
    <w:name w:val="adminasppsearchtext"/>
    <w:basedOn w:val="Normal"/>
    <w:rsid w:val="00AB7E85"/>
    <w:pPr>
      <w:spacing w:before="100" w:beforeAutospacing="1" w:after="100" w:afterAutospacing="1" w:line="240" w:lineRule="auto"/>
    </w:pPr>
    <w:rPr>
      <w:rFonts w:ascii="Times New Roman" w:eastAsia="Times New Roman" w:hAnsi="Times New Roman" w:cs="Times New Roman"/>
      <w:color w:val="999999"/>
      <w:sz w:val="18"/>
      <w:szCs w:val="18"/>
      <w:lang w:eastAsia="es-ES"/>
    </w:rPr>
  </w:style>
  <w:style w:type="paragraph" w:customStyle="1" w:styleId="adminmodmsg">
    <w:name w:val="adminmodmsg"/>
    <w:basedOn w:val="Normal"/>
    <w:rsid w:val="00AB7E85"/>
    <w:pPr>
      <w:spacing w:before="100" w:beforeAutospacing="1" w:after="100" w:afterAutospacing="1" w:line="240" w:lineRule="auto"/>
    </w:pPr>
    <w:rPr>
      <w:rFonts w:ascii="Times New Roman" w:eastAsia="Times New Roman" w:hAnsi="Times New Roman" w:cs="Times New Roman"/>
      <w:color w:val="009900"/>
      <w:sz w:val="18"/>
      <w:szCs w:val="18"/>
      <w:lang w:eastAsia="es-ES"/>
    </w:rPr>
  </w:style>
  <w:style w:type="paragraph" w:customStyle="1" w:styleId="userlogintablestyle">
    <w:name w:val="userlogintablestyle"/>
    <w:basedOn w:val="Normal"/>
    <w:rsid w:val="00AB7E85"/>
    <w:pPr>
      <w:pBdr>
        <w:top w:val="single" w:sz="6" w:space="0" w:color="999999"/>
        <w:left w:val="single" w:sz="6" w:space="0" w:color="999999"/>
        <w:bottom w:val="single" w:sz="6" w:space="0" w:color="999999"/>
        <w:right w:val="single" w:sz="6" w:space="0" w:color="999999"/>
      </w:pBdr>
      <w:shd w:val="clear" w:color="auto" w:fill="F9F9F9"/>
      <w:spacing w:before="100" w:beforeAutospacing="1" w:after="100" w:afterAutospacing="1" w:line="240" w:lineRule="auto"/>
    </w:pPr>
    <w:rPr>
      <w:rFonts w:ascii="Times New Roman" w:eastAsia="Times New Roman" w:hAnsi="Times New Roman" w:cs="Times New Roman"/>
      <w:color w:val="FF9900"/>
      <w:sz w:val="17"/>
      <w:szCs w:val="17"/>
      <w:lang w:eastAsia="es-ES"/>
    </w:rPr>
  </w:style>
  <w:style w:type="paragraph" w:customStyle="1" w:styleId="userlogincontentstyle">
    <w:name w:val="userlogincontentstyle"/>
    <w:basedOn w:val="Normal"/>
    <w:rsid w:val="00AB7E85"/>
    <w:pPr>
      <w:spacing w:before="100" w:beforeAutospacing="1" w:after="100" w:afterAutospacing="1" w:line="240" w:lineRule="auto"/>
    </w:pPr>
    <w:rPr>
      <w:rFonts w:ascii="Times New Roman" w:eastAsia="Times New Roman" w:hAnsi="Times New Roman" w:cs="Times New Roman"/>
      <w:color w:val="808080"/>
      <w:sz w:val="17"/>
      <w:szCs w:val="17"/>
      <w:lang w:eastAsia="es-ES"/>
    </w:rPr>
  </w:style>
  <w:style w:type="paragraph" w:customStyle="1" w:styleId="userloginwarning">
    <w:name w:val="userloginwarning"/>
    <w:basedOn w:val="Normal"/>
    <w:rsid w:val="00AB7E85"/>
    <w:pPr>
      <w:shd w:val="clear" w:color="auto" w:fill="999999"/>
      <w:spacing w:before="100" w:beforeAutospacing="1" w:after="100" w:afterAutospacing="1" w:line="240" w:lineRule="auto"/>
    </w:pPr>
    <w:rPr>
      <w:rFonts w:ascii="Times New Roman" w:eastAsia="Times New Roman" w:hAnsi="Times New Roman" w:cs="Times New Roman"/>
      <w:color w:val="FFFFFF"/>
      <w:sz w:val="17"/>
      <w:szCs w:val="17"/>
      <w:lang w:eastAsia="es-ES"/>
    </w:rPr>
  </w:style>
  <w:style w:type="paragraph" w:customStyle="1" w:styleId="mainpagekeywordstyle">
    <w:name w:val="mainpagekeywordstyle"/>
    <w:basedOn w:val="Normal"/>
    <w:rsid w:val="00AB7E85"/>
    <w:pPr>
      <w:spacing w:before="100" w:beforeAutospacing="1" w:after="100" w:afterAutospacing="1" w:line="240" w:lineRule="auto"/>
    </w:pPr>
    <w:rPr>
      <w:rFonts w:ascii="Franklin Gothic Medium" w:eastAsia="Times New Roman" w:hAnsi="Franklin Gothic Medium" w:cs="Times New Roman"/>
      <w:b/>
      <w:bCs/>
      <w:color w:val="009900"/>
      <w:sz w:val="21"/>
      <w:szCs w:val="21"/>
      <w:lang w:eastAsia="es-ES"/>
    </w:rPr>
  </w:style>
  <w:style w:type="paragraph" w:customStyle="1" w:styleId="mainpagekeywordstyle2">
    <w:name w:val="mainpagekeywordstyle2"/>
    <w:basedOn w:val="Normal"/>
    <w:rsid w:val="00AB7E85"/>
    <w:pPr>
      <w:spacing w:before="100" w:beforeAutospacing="1" w:after="100" w:afterAutospacing="1" w:line="240" w:lineRule="auto"/>
    </w:pPr>
    <w:rPr>
      <w:rFonts w:ascii="Franklin Gothic Medium" w:eastAsia="Times New Roman" w:hAnsi="Franklin Gothic Medium" w:cs="Times New Roman"/>
      <w:b/>
      <w:bCs/>
      <w:color w:val="009900"/>
      <w:sz w:val="18"/>
      <w:szCs w:val="18"/>
      <w:lang w:eastAsia="es-ES"/>
    </w:rPr>
  </w:style>
  <w:style w:type="paragraph" w:customStyle="1" w:styleId="usermenustyle">
    <w:name w:val="usermenustyle"/>
    <w:basedOn w:val="Normal"/>
    <w:rsid w:val="00AB7E85"/>
    <w:pPr>
      <w:spacing w:before="100" w:beforeAutospacing="1" w:after="100" w:afterAutospacing="1" w:line="240" w:lineRule="auto"/>
    </w:pPr>
    <w:rPr>
      <w:rFonts w:ascii="Verdana" w:eastAsia="Times New Roman" w:hAnsi="Verdana" w:cs="Times New Roman"/>
      <w:b/>
      <w:bCs/>
      <w:color w:val="FFFFFF"/>
      <w:sz w:val="14"/>
      <w:szCs w:val="14"/>
      <w:lang w:eastAsia="es-ES"/>
    </w:rPr>
  </w:style>
  <w:style w:type="paragraph" w:customStyle="1" w:styleId="usermenustylefroms">
    <w:name w:val="usermenustylefroms"/>
    <w:basedOn w:val="Normal"/>
    <w:rsid w:val="00AB7E85"/>
    <w:pPr>
      <w:pBdr>
        <w:top w:val="single" w:sz="6" w:space="0" w:color="BBBBBB"/>
        <w:left w:val="single" w:sz="6" w:space="0" w:color="BBBBBB"/>
        <w:bottom w:val="single" w:sz="6" w:space="0" w:color="BBBBBB"/>
        <w:right w:val="single" w:sz="6" w:space="0" w:color="BBBBBB"/>
      </w:pBdr>
      <w:shd w:val="clear" w:color="auto" w:fill="FFFFFF"/>
      <w:spacing w:before="100" w:beforeAutospacing="1" w:after="100" w:afterAutospacing="1" w:line="240" w:lineRule="auto"/>
    </w:pPr>
    <w:rPr>
      <w:rFonts w:ascii="Verdana" w:eastAsia="Times New Roman" w:hAnsi="Verdana" w:cs="Times New Roman"/>
      <w:color w:val="000000"/>
      <w:sz w:val="17"/>
      <w:szCs w:val="17"/>
      <w:lang w:eastAsia="es-ES"/>
    </w:rPr>
  </w:style>
  <w:style w:type="paragraph" w:customStyle="1" w:styleId="usermenustyleformbutton">
    <w:name w:val="usermenustyleformbutton"/>
    <w:basedOn w:val="Normal"/>
    <w:rsid w:val="00AB7E85"/>
    <w:pPr>
      <w:pBdr>
        <w:top w:val="single" w:sz="6" w:space="0" w:color="BBBBBB"/>
        <w:left w:val="single" w:sz="6" w:space="0" w:color="BBBBBB"/>
        <w:bottom w:val="single" w:sz="6" w:space="0" w:color="BBBBBB"/>
        <w:right w:val="single" w:sz="6" w:space="0" w:color="BBBBBB"/>
      </w:pBdr>
      <w:shd w:val="clear" w:color="auto" w:fill="DAE6EB"/>
      <w:spacing w:before="100" w:beforeAutospacing="1" w:after="100" w:afterAutospacing="1" w:line="240" w:lineRule="auto"/>
    </w:pPr>
    <w:rPr>
      <w:rFonts w:ascii="Verdana" w:eastAsia="Times New Roman" w:hAnsi="Verdana" w:cs="Times New Roman"/>
      <w:color w:val="000000"/>
      <w:sz w:val="17"/>
      <w:szCs w:val="17"/>
      <w:lang w:eastAsia="es-ES"/>
    </w:rPr>
  </w:style>
  <w:style w:type="paragraph" w:customStyle="1" w:styleId="usermenuusername">
    <w:name w:val="usermenuusername"/>
    <w:basedOn w:val="Normal"/>
    <w:rsid w:val="00AB7E85"/>
    <w:pPr>
      <w:spacing w:before="100" w:beforeAutospacing="1" w:after="100" w:afterAutospacing="1" w:line="240" w:lineRule="auto"/>
    </w:pPr>
    <w:rPr>
      <w:rFonts w:ascii="Verdana" w:eastAsia="Times New Roman" w:hAnsi="Verdana" w:cs="Times New Roman"/>
      <w:b/>
      <w:bCs/>
      <w:color w:val="FFA346"/>
      <w:sz w:val="24"/>
      <w:szCs w:val="24"/>
      <w:lang w:eastAsia="es-ES"/>
    </w:rPr>
  </w:style>
  <w:style w:type="paragraph" w:customStyle="1" w:styleId="mainmenu">
    <w:name w:val="mainmenu"/>
    <w:basedOn w:val="Normal"/>
    <w:rsid w:val="00AB7E85"/>
    <w:pPr>
      <w:spacing w:before="100" w:beforeAutospacing="1" w:after="100" w:afterAutospacing="1" w:line="240" w:lineRule="auto"/>
    </w:pPr>
    <w:rPr>
      <w:rFonts w:ascii="Times New Roman" w:eastAsia="Times New Roman" w:hAnsi="Times New Roman" w:cs="Times New Roman"/>
      <w:color w:val="FFFFFF"/>
      <w:sz w:val="24"/>
      <w:szCs w:val="24"/>
      <w:lang w:eastAsia="es-ES"/>
    </w:rPr>
  </w:style>
  <w:style w:type="paragraph" w:customStyle="1" w:styleId="mainmenulogo">
    <w:name w:val="mainmenulogo"/>
    <w:basedOn w:val="Normal"/>
    <w:rsid w:val="00AB7E85"/>
    <w:pPr>
      <w:spacing w:before="100" w:beforeAutospacing="1" w:after="100" w:afterAutospacing="1" w:line="240" w:lineRule="auto"/>
    </w:pPr>
    <w:rPr>
      <w:rFonts w:ascii="Times New Roman" w:eastAsia="Times New Roman" w:hAnsi="Times New Roman" w:cs="Times New Roman"/>
      <w:sz w:val="29"/>
      <w:szCs w:val="29"/>
      <w:lang w:eastAsia="es-ES"/>
    </w:rPr>
  </w:style>
  <w:style w:type="paragraph" w:customStyle="1" w:styleId="proewt">
    <w:name w:val="proewt"/>
    <w:basedOn w:val="Normal"/>
    <w:rsid w:val="00AB7E85"/>
    <w:pPr>
      <w:spacing w:before="100" w:beforeAutospacing="1" w:after="100" w:afterAutospacing="1" w:line="240" w:lineRule="auto"/>
    </w:pPr>
    <w:rPr>
      <w:rFonts w:ascii="Times New Roman" w:eastAsia="Times New Roman" w:hAnsi="Times New Roman" w:cs="Times New Roman"/>
      <w:sz w:val="17"/>
      <w:szCs w:val="17"/>
      <w:lang w:eastAsia="es-ES"/>
    </w:rPr>
  </w:style>
  <w:style w:type="paragraph" w:customStyle="1" w:styleId="prodesc">
    <w:name w:val="prodesc"/>
    <w:basedOn w:val="Normal"/>
    <w:rsid w:val="00AB7E85"/>
    <w:pPr>
      <w:spacing w:before="100" w:beforeAutospacing="1" w:after="100" w:afterAutospacing="1" w:line="240" w:lineRule="auto"/>
    </w:pPr>
    <w:rPr>
      <w:rFonts w:ascii="Times New Roman" w:eastAsia="Times New Roman" w:hAnsi="Times New Roman" w:cs="Times New Roman"/>
      <w:sz w:val="18"/>
      <w:szCs w:val="18"/>
      <w:lang w:eastAsia="es-ES"/>
    </w:rPr>
  </w:style>
  <w:style w:type="paragraph" w:customStyle="1" w:styleId="promsg">
    <w:name w:val="promsg"/>
    <w:basedOn w:val="Normal"/>
    <w:rsid w:val="00AB7E85"/>
    <w:pPr>
      <w:spacing w:before="100" w:beforeAutospacing="1" w:after="100" w:afterAutospacing="1" w:line="240" w:lineRule="auto"/>
    </w:pPr>
    <w:rPr>
      <w:rFonts w:ascii="Times New Roman" w:eastAsia="Times New Roman" w:hAnsi="Times New Roman" w:cs="Times New Roman"/>
      <w:b/>
      <w:bCs/>
      <w:color w:val="339900"/>
      <w:sz w:val="24"/>
      <w:szCs w:val="24"/>
      <w:lang w:eastAsia="es-ES"/>
    </w:rPr>
  </w:style>
  <w:style w:type="paragraph" w:customStyle="1" w:styleId="normcontent">
    <w:name w:val="normcontent"/>
    <w:basedOn w:val="Normal"/>
    <w:rsid w:val="00AB7E85"/>
    <w:pPr>
      <w:spacing w:before="100" w:beforeAutospacing="1" w:after="100" w:afterAutospacing="1" w:line="240" w:lineRule="auto"/>
    </w:pPr>
    <w:rPr>
      <w:rFonts w:ascii="Arial" w:eastAsia="Times New Roman" w:hAnsi="Arial" w:cs="Arial"/>
      <w:sz w:val="18"/>
      <w:szCs w:val="18"/>
      <w:lang w:eastAsia="es-ES"/>
    </w:rPr>
  </w:style>
  <w:style w:type="paragraph" w:customStyle="1" w:styleId="mainapcontent">
    <w:name w:val="mainapcontent"/>
    <w:basedOn w:val="Normal"/>
    <w:rsid w:val="00AB7E85"/>
    <w:pPr>
      <w:spacing w:before="100" w:beforeAutospacing="1" w:after="100" w:afterAutospacing="1" w:line="240" w:lineRule="auto"/>
    </w:pPr>
    <w:rPr>
      <w:rFonts w:ascii="Times New Roman" w:eastAsia="Times New Roman" w:hAnsi="Times New Roman" w:cs="Times New Roman"/>
      <w:b/>
      <w:bCs/>
      <w:color w:val="003366"/>
      <w:sz w:val="24"/>
      <w:szCs w:val="24"/>
      <w:lang w:eastAsia="es-ES"/>
    </w:rPr>
  </w:style>
  <w:style w:type="paragraph" w:customStyle="1" w:styleId="mainnamecontent">
    <w:name w:val="mainnamecontent"/>
    <w:basedOn w:val="Normal"/>
    <w:rsid w:val="00AB7E85"/>
    <w:pPr>
      <w:spacing w:before="100" w:beforeAutospacing="1" w:after="100" w:afterAutospacing="1" w:line="240" w:lineRule="auto"/>
    </w:pPr>
    <w:rPr>
      <w:rFonts w:ascii="Times New Roman" w:eastAsia="Times New Roman" w:hAnsi="Times New Roman" w:cs="Times New Roman"/>
      <w:b/>
      <w:bCs/>
      <w:i/>
      <w:iCs/>
      <w:color w:val="FF6600"/>
      <w:sz w:val="24"/>
      <w:szCs w:val="24"/>
      <w:lang w:eastAsia="es-ES"/>
    </w:rPr>
  </w:style>
  <w:style w:type="paragraph" w:customStyle="1" w:styleId="searchbrowsertoolmsg">
    <w:name w:val="searchbrowsertoolmsg"/>
    <w:basedOn w:val="Normal"/>
    <w:rsid w:val="00AB7E85"/>
    <w:pPr>
      <w:spacing w:before="100" w:beforeAutospacing="1" w:after="100" w:afterAutospacing="1" w:line="240" w:lineRule="auto"/>
    </w:pPr>
    <w:rPr>
      <w:rFonts w:ascii="Times New Roman" w:eastAsia="Times New Roman" w:hAnsi="Times New Roman" w:cs="Times New Roman"/>
      <w:b/>
      <w:bCs/>
      <w:color w:val="FF6600"/>
      <w:sz w:val="18"/>
      <w:szCs w:val="18"/>
      <w:lang w:eastAsia="es-ES"/>
    </w:rPr>
  </w:style>
  <w:style w:type="paragraph" w:customStyle="1" w:styleId="formseparator">
    <w:name w:val="formseparator"/>
    <w:basedOn w:val="Normal"/>
    <w:rsid w:val="00AB7E85"/>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searchnormlist">
    <w:name w:val="searchnormlist"/>
    <w:basedOn w:val="Normal"/>
    <w:rsid w:val="00AB7E85"/>
    <w:pPr>
      <w:shd w:val="clear" w:color="auto" w:fill="C5CED6"/>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onartresultstitledate">
    <w:name w:val="conartresultstitledate"/>
    <w:basedOn w:val="Normal"/>
    <w:rsid w:val="00AB7E85"/>
    <w:pPr>
      <w:spacing w:before="100" w:beforeAutospacing="1" w:after="100" w:afterAutospacing="1" w:line="240" w:lineRule="auto"/>
    </w:pPr>
    <w:rPr>
      <w:rFonts w:ascii="Times New Roman" w:eastAsia="Times New Roman" w:hAnsi="Times New Roman" w:cs="Times New Roman"/>
      <w:color w:val="666666"/>
      <w:sz w:val="18"/>
      <w:szCs w:val="18"/>
      <w:lang w:eastAsia="es-ES"/>
    </w:rPr>
  </w:style>
  <w:style w:type="paragraph" w:customStyle="1" w:styleId="registerprices">
    <w:name w:val="registerprices"/>
    <w:basedOn w:val="Normal"/>
    <w:rsid w:val="00AB7E85"/>
    <w:pPr>
      <w:spacing w:before="100" w:beforeAutospacing="1" w:after="100" w:afterAutospacing="1" w:line="240" w:lineRule="auto"/>
    </w:pPr>
    <w:rPr>
      <w:rFonts w:ascii="Times New Roman" w:eastAsia="Times New Roman" w:hAnsi="Times New Roman" w:cs="Times New Roman"/>
      <w:b/>
      <w:bCs/>
      <w:color w:val="333399"/>
      <w:sz w:val="24"/>
      <w:szCs w:val="24"/>
      <w:lang w:eastAsia="es-ES"/>
    </w:rPr>
  </w:style>
  <w:style w:type="paragraph" w:customStyle="1" w:styleId="bodycontent">
    <w:name w:val="bodycontent"/>
    <w:basedOn w:val="Normal"/>
    <w:rsid w:val="00AB7E85"/>
    <w:pPr>
      <w:spacing w:before="100" w:beforeAutospacing="1" w:after="100" w:afterAutospacing="1" w:line="240" w:lineRule="auto"/>
    </w:pPr>
    <w:rPr>
      <w:rFonts w:ascii="Arial" w:eastAsia="Times New Roman" w:hAnsi="Arial" w:cs="Arial"/>
      <w:sz w:val="20"/>
      <w:szCs w:val="20"/>
      <w:lang w:eastAsia="es-ES"/>
    </w:rPr>
  </w:style>
  <w:style w:type="paragraph" w:customStyle="1" w:styleId="normlistbackground1">
    <w:name w:val="normlistbackground1"/>
    <w:basedOn w:val="Normal"/>
    <w:rsid w:val="00AB7E85"/>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normlistbackground2">
    <w:name w:val="normlistbackground2"/>
    <w:basedOn w:val="Normal"/>
    <w:rsid w:val="00AB7E85"/>
    <w:pPr>
      <w:shd w:val="clear" w:color="auto" w:fill="ECEEF0"/>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searchbarcategoryheader">
    <w:name w:val="searchbarcategoryheader"/>
    <w:basedOn w:val="Normal"/>
    <w:rsid w:val="00AB7E85"/>
    <w:pPr>
      <w:shd w:val="clear" w:color="auto" w:fill="D6DDE2"/>
      <w:spacing w:before="100" w:beforeAutospacing="1" w:after="100" w:afterAutospacing="1" w:line="240" w:lineRule="auto"/>
      <w:textAlignment w:val="center"/>
    </w:pPr>
    <w:rPr>
      <w:rFonts w:ascii="Times New Roman" w:eastAsia="Times New Roman" w:hAnsi="Times New Roman" w:cs="Times New Roman"/>
      <w:b/>
      <w:bCs/>
      <w:color w:val="003366"/>
      <w:sz w:val="24"/>
      <w:szCs w:val="24"/>
      <w:lang w:eastAsia="es-ES"/>
    </w:rPr>
  </w:style>
  <w:style w:type="paragraph" w:customStyle="1" w:styleId="tooltipheadermain">
    <w:name w:val="tooltipheadermain"/>
    <w:basedOn w:val="Normal"/>
    <w:rsid w:val="00AB7E85"/>
    <w:pPr>
      <w:pBdr>
        <w:top w:val="single" w:sz="6" w:space="4" w:color="999999"/>
        <w:left w:val="single" w:sz="6" w:space="4" w:color="999999"/>
        <w:bottom w:val="single" w:sz="6" w:space="4" w:color="999999"/>
        <w:right w:val="single" w:sz="6" w:space="4" w:color="999999"/>
      </w:pBdr>
      <w:shd w:val="clear" w:color="auto" w:fill="F0F0F0"/>
      <w:spacing w:before="100" w:beforeAutospacing="1" w:after="100" w:afterAutospacing="1" w:line="240" w:lineRule="auto"/>
    </w:pPr>
    <w:rPr>
      <w:rFonts w:ascii="Arial" w:eastAsia="Times New Roman" w:hAnsi="Arial" w:cs="Arial"/>
      <w:b/>
      <w:bCs/>
      <w:color w:val="666666"/>
      <w:sz w:val="18"/>
      <w:szCs w:val="18"/>
      <w:lang w:eastAsia="es-ES"/>
    </w:rPr>
  </w:style>
  <w:style w:type="paragraph" w:customStyle="1" w:styleId="tooltipbodymain">
    <w:name w:val="tooltipbodymain"/>
    <w:basedOn w:val="Normal"/>
    <w:rsid w:val="00AB7E85"/>
    <w:pPr>
      <w:pBdr>
        <w:top w:val="single" w:sz="6" w:space="4" w:color="999999"/>
        <w:left w:val="single" w:sz="6" w:space="4" w:color="999999"/>
        <w:bottom w:val="single" w:sz="6" w:space="4" w:color="999999"/>
        <w:right w:val="single" w:sz="6" w:space="4" w:color="999999"/>
      </w:pBdr>
      <w:shd w:val="clear" w:color="auto" w:fill="F9F9F9"/>
      <w:spacing w:before="100" w:beforeAutospacing="1" w:after="100" w:afterAutospacing="1" w:line="240" w:lineRule="auto"/>
      <w:jc w:val="both"/>
    </w:pPr>
    <w:rPr>
      <w:rFonts w:ascii="Arial" w:eastAsia="Times New Roman" w:hAnsi="Arial" w:cs="Arial"/>
      <w:sz w:val="18"/>
      <w:szCs w:val="18"/>
      <w:lang w:eastAsia="es-ES"/>
    </w:rPr>
  </w:style>
  <w:style w:type="paragraph" w:customStyle="1" w:styleId="tooltipbodytextsearch">
    <w:name w:val="tooltipbodytextsearch"/>
    <w:basedOn w:val="Normal"/>
    <w:rsid w:val="00AB7E85"/>
    <w:pPr>
      <w:pBdr>
        <w:top w:val="single" w:sz="6" w:space="4" w:color="999999"/>
        <w:left w:val="single" w:sz="6" w:space="4" w:color="999999"/>
        <w:bottom w:val="single" w:sz="6" w:space="4" w:color="999999"/>
        <w:right w:val="single" w:sz="6" w:space="4" w:color="999999"/>
      </w:pBdr>
      <w:shd w:val="clear" w:color="auto" w:fill="F9F9F9"/>
      <w:spacing w:before="100" w:beforeAutospacing="1" w:after="100" w:afterAutospacing="1" w:line="240" w:lineRule="auto"/>
      <w:jc w:val="both"/>
    </w:pPr>
    <w:rPr>
      <w:rFonts w:ascii="Arial" w:eastAsia="Times New Roman" w:hAnsi="Arial" w:cs="Arial"/>
      <w:sz w:val="18"/>
      <w:szCs w:val="18"/>
      <w:lang w:eastAsia="es-ES"/>
    </w:rPr>
  </w:style>
  <w:style w:type="paragraph" w:customStyle="1" w:styleId="tooltipsearch">
    <w:name w:val="tooltipsearch"/>
    <w:basedOn w:val="Normal"/>
    <w:rsid w:val="00AB7E85"/>
    <w:pPr>
      <w:pBdr>
        <w:top w:val="single" w:sz="6" w:space="4" w:color="999999"/>
        <w:left w:val="single" w:sz="6" w:space="4" w:color="999999"/>
        <w:bottom w:val="single" w:sz="6" w:space="4" w:color="999999"/>
        <w:right w:val="single" w:sz="6" w:space="4" w:color="999999"/>
      </w:pBdr>
      <w:shd w:val="clear" w:color="auto" w:fill="F9F9F9"/>
      <w:spacing w:before="100" w:beforeAutospacing="1" w:after="100" w:afterAutospacing="1" w:line="240" w:lineRule="auto"/>
      <w:jc w:val="both"/>
    </w:pPr>
    <w:rPr>
      <w:rFonts w:ascii="Arial" w:eastAsia="Times New Roman" w:hAnsi="Arial" w:cs="Arial"/>
      <w:sz w:val="18"/>
      <w:szCs w:val="18"/>
      <w:lang w:eastAsia="es-ES"/>
    </w:rPr>
  </w:style>
  <w:style w:type="paragraph" w:customStyle="1" w:styleId="tableloading">
    <w:name w:val="tableloading"/>
    <w:basedOn w:val="Normal"/>
    <w:rsid w:val="00AB7E85"/>
    <w:pPr>
      <w:pBdr>
        <w:top w:val="single" w:sz="6" w:space="0" w:color="838383"/>
        <w:left w:val="single" w:sz="6" w:space="0" w:color="838383"/>
        <w:bottom w:val="single" w:sz="6" w:space="0" w:color="838383"/>
        <w:right w:val="single" w:sz="6" w:space="0" w:color="83838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ableloadingnorm">
    <w:name w:val="tableloadingnorm"/>
    <w:basedOn w:val="Normal"/>
    <w:rsid w:val="00AB7E85"/>
    <w:pPr>
      <w:pBdr>
        <w:top w:val="single" w:sz="6" w:space="0" w:color="838383"/>
        <w:left w:val="single" w:sz="6" w:space="0" w:color="838383"/>
        <w:bottom w:val="single" w:sz="6" w:space="0" w:color="838383"/>
        <w:right w:val="single" w:sz="6" w:space="0" w:color="838383"/>
      </w:pBdr>
      <w:shd w:val="clear" w:color="auto" w:fill="E2ECF6"/>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errormessagetable">
    <w:name w:val="errormessagetable"/>
    <w:basedOn w:val="Normal"/>
    <w:rsid w:val="00AB7E85"/>
    <w:pPr>
      <w:pBdr>
        <w:top w:val="single" w:sz="6" w:space="0" w:color="990000"/>
        <w:left w:val="single" w:sz="6" w:space="0" w:color="990000"/>
        <w:bottom w:val="single" w:sz="6" w:space="0" w:color="990000"/>
        <w:right w:val="single" w:sz="6" w:space="0" w:color="990000"/>
      </w:pBdr>
      <w:shd w:val="clear" w:color="auto" w:fill="CC0000"/>
      <w:spacing w:before="100" w:beforeAutospacing="1" w:after="100" w:afterAutospacing="1" w:line="240" w:lineRule="auto"/>
    </w:pPr>
    <w:rPr>
      <w:rFonts w:ascii="Arial" w:eastAsia="Times New Roman" w:hAnsi="Arial" w:cs="Arial"/>
      <w:color w:val="FFFFFF"/>
      <w:sz w:val="18"/>
      <w:szCs w:val="18"/>
      <w:lang w:eastAsia="es-ES"/>
    </w:rPr>
  </w:style>
  <w:style w:type="paragraph" w:customStyle="1" w:styleId="successmessagetable">
    <w:name w:val="successmessagetable"/>
    <w:basedOn w:val="Normal"/>
    <w:rsid w:val="00AB7E85"/>
    <w:pPr>
      <w:pBdr>
        <w:top w:val="single" w:sz="6" w:space="0" w:color="003300"/>
        <w:left w:val="single" w:sz="6" w:space="0" w:color="003300"/>
        <w:bottom w:val="single" w:sz="6" w:space="0" w:color="003300"/>
        <w:right w:val="single" w:sz="6" w:space="0" w:color="003300"/>
      </w:pBdr>
      <w:shd w:val="clear" w:color="auto" w:fill="008A00"/>
      <w:spacing w:before="100" w:beforeAutospacing="1" w:after="100" w:afterAutospacing="1" w:line="240" w:lineRule="auto"/>
    </w:pPr>
    <w:rPr>
      <w:rFonts w:ascii="Arial" w:eastAsia="Times New Roman" w:hAnsi="Arial" w:cs="Arial"/>
      <w:color w:val="FFFFFF"/>
      <w:sz w:val="18"/>
      <w:szCs w:val="18"/>
      <w:lang w:eastAsia="es-ES"/>
    </w:rPr>
  </w:style>
  <w:style w:type="paragraph" w:customStyle="1" w:styleId="highlightedblue">
    <w:name w:val="highlightedblue"/>
    <w:basedOn w:val="Normal"/>
    <w:rsid w:val="00AB7E85"/>
    <w:pPr>
      <w:spacing w:before="100" w:beforeAutospacing="1" w:after="100" w:afterAutospacing="1" w:line="240" w:lineRule="auto"/>
    </w:pPr>
    <w:rPr>
      <w:rFonts w:ascii="Times New Roman" w:eastAsia="Times New Roman" w:hAnsi="Times New Roman" w:cs="Times New Roman"/>
      <w:b/>
      <w:bCs/>
      <w:color w:val="000080"/>
      <w:sz w:val="24"/>
      <w:szCs w:val="24"/>
      <w:lang w:eastAsia="es-ES"/>
    </w:rPr>
  </w:style>
  <w:style w:type="paragraph" w:customStyle="1" w:styleId="popupmenubar">
    <w:name w:val="popupmenubar"/>
    <w:basedOn w:val="Normal"/>
    <w:rsid w:val="00AB7E85"/>
    <w:pPr>
      <w:shd w:val="clear" w:color="auto" w:fill="F2F2F2"/>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opupmenubarmouseover">
    <w:name w:val="popupmenubarmouseover"/>
    <w:basedOn w:val="Normal"/>
    <w:rsid w:val="00AB7E85"/>
    <w:pPr>
      <w:shd w:val="clear" w:color="auto" w:fill="E5E5E5"/>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rplanes1">
    <w:name w:val="trplanes1"/>
    <w:basedOn w:val="Normal"/>
    <w:rsid w:val="00AB7E85"/>
    <w:pPr>
      <w:spacing w:before="100" w:beforeAutospacing="1" w:after="100" w:afterAutospacing="1" w:line="240" w:lineRule="auto"/>
      <w:textAlignment w:val="center"/>
    </w:pPr>
    <w:rPr>
      <w:rFonts w:ascii="Times New Roman" w:eastAsia="Times New Roman" w:hAnsi="Times New Roman" w:cs="Times New Roman"/>
      <w:sz w:val="24"/>
      <w:szCs w:val="24"/>
      <w:lang w:eastAsia="es-ES"/>
    </w:rPr>
  </w:style>
  <w:style w:type="paragraph" w:customStyle="1" w:styleId="tdplanes1">
    <w:name w:val="tdplanes1"/>
    <w:basedOn w:val="Normal"/>
    <w:rsid w:val="00AB7E85"/>
    <w:pPr>
      <w:spacing w:before="100" w:beforeAutospacing="1" w:after="100" w:afterAutospacing="1" w:line="240" w:lineRule="auto"/>
      <w:jc w:val="both"/>
    </w:pPr>
    <w:rPr>
      <w:rFonts w:ascii="Times New Roman" w:eastAsia="Times New Roman" w:hAnsi="Times New Roman" w:cs="Times New Roman"/>
      <w:sz w:val="24"/>
      <w:szCs w:val="24"/>
      <w:lang w:eastAsia="es-ES"/>
    </w:rPr>
  </w:style>
  <w:style w:type="paragraph" w:customStyle="1" w:styleId="tdplanes2">
    <w:name w:val="tdplanes2"/>
    <w:basedOn w:val="Normal"/>
    <w:rsid w:val="00AB7E85"/>
    <w:pP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td2planesheader1">
    <w:name w:val="td2planesheader1"/>
    <w:basedOn w:val="Normal"/>
    <w:rsid w:val="00AB7E85"/>
    <w:pPr>
      <w:shd w:val="clear" w:color="auto" w:fill="FFC000"/>
      <w:spacing w:before="100" w:beforeAutospacing="1" w:after="100" w:afterAutospacing="1" w:line="240" w:lineRule="auto"/>
      <w:jc w:val="both"/>
    </w:pPr>
    <w:rPr>
      <w:rFonts w:ascii="Times New Roman" w:eastAsia="Times New Roman" w:hAnsi="Times New Roman" w:cs="Times New Roman"/>
      <w:sz w:val="24"/>
      <w:szCs w:val="24"/>
      <w:lang w:eastAsia="es-ES"/>
    </w:rPr>
  </w:style>
  <w:style w:type="paragraph" w:customStyle="1" w:styleId="td2planesheader2">
    <w:name w:val="td2planesheader2"/>
    <w:basedOn w:val="Normal"/>
    <w:rsid w:val="00AB7E85"/>
    <w:pPr>
      <w:shd w:val="clear" w:color="auto" w:fill="365F91"/>
      <w:spacing w:before="100" w:beforeAutospacing="1" w:after="100" w:afterAutospacing="1" w:line="240" w:lineRule="auto"/>
    </w:pPr>
    <w:rPr>
      <w:rFonts w:ascii="Times New Roman" w:eastAsia="Times New Roman" w:hAnsi="Times New Roman" w:cs="Times New Roman"/>
      <w:color w:val="FFFFFF"/>
      <w:sz w:val="24"/>
      <w:szCs w:val="24"/>
      <w:lang w:eastAsia="es-ES"/>
    </w:rPr>
  </w:style>
  <w:style w:type="paragraph" w:customStyle="1" w:styleId="td2planesheader3">
    <w:name w:val="td2planesheader3"/>
    <w:basedOn w:val="Normal"/>
    <w:rsid w:val="00AB7E85"/>
    <w:pPr>
      <w:shd w:val="clear" w:color="auto" w:fill="365F91"/>
      <w:spacing w:before="100" w:beforeAutospacing="1" w:after="100" w:afterAutospacing="1" w:line="240" w:lineRule="auto"/>
      <w:jc w:val="center"/>
    </w:pPr>
    <w:rPr>
      <w:rFonts w:ascii="Times New Roman" w:eastAsia="Times New Roman" w:hAnsi="Times New Roman" w:cs="Times New Roman"/>
      <w:color w:val="FFFFFF"/>
      <w:sz w:val="24"/>
      <w:szCs w:val="24"/>
      <w:lang w:eastAsia="es-ES"/>
    </w:rPr>
  </w:style>
  <w:style w:type="paragraph" w:customStyle="1" w:styleId="td2planesheader4">
    <w:name w:val="td2planesheader4"/>
    <w:basedOn w:val="Normal"/>
    <w:rsid w:val="00AB7E85"/>
    <w:pPr>
      <w:shd w:val="clear" w:color="auto" w:fill="365F91"/>
      <w:spacing w:before="100" w:beforeAutospacing="1" w:after="100" w:afterAutospacing="1" w:line="240" w:lineRule="auto"/>
      <w:jc w:val="center"/>
    </w:pPr>
    <w:rPr>
      <w:rFonts w:ascii="Times New Roman" w:eastAsia="Times New Roman" w:hAnsi="Times New Roman" w:cs="Times New Roman"/>
      <w:color w:val="FFFFFF"/>
      <w:sz w:val="24"/>
      <w:szCs w:val="24"/>
      <w:lang w:eastAsia="es-ES"/>
    </w:rPr>
  </w:style>
  <w:style w:type="paragraph" w:customStyle="1" w:styleId="td2planes1">
    <w:name w:val="td2planes1"/>
    <w:basedOn w:val="Normal"/>
    <w:rsid w:val="00AB7E85"/>
    <w:pPr>
      <w:shd w:val="clear" w:color="auto" w:fill="F2F2F2"/>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td2planes2">
    <w:name w:val="td2planes2"/>
    <w:basedOn w:val="Normal"/>
    <w:rsid w:val="00AB7E85"/>
    <w:pPr>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normname">
    <w:name w:val="normname"/>
    <w:basedOn w:val="Normal"/>
    <w:rsid w:val="00AB7E85"/>
    <w:pPr>
      <w:spacing w:before="100" w:beforeAutospacing="1" w:after="100" w:afterAutospacing="1" w:line="240" w:lineRule="auto"/>
    </w:pPr>
    <w:rPr>
      <w:rFonts w:ascii="Times New Roman" w:eastAsia="Times New Roman" w:hAnsi="Times New Roman" w:cs="Times New Roman"/>
      <w:b/>
      <w:bCs/>
      <w:color w:val="333333"/>
      <w:sz w:val="24"/>
      <w:szCs w:val="24"/>
      <w:lang w:eastAsia="es-ES"/>
    </w:rPr>
  </w:style>
  <w:style w:type="paragraph" w:customStyle="1" w:styleId="normstatus">
    <w:name w:val="normstatus"/>
    <w:basedOn w:val="Normal"/>
    <w:rsid w:val="00AB7E85"/>
    <w:pPr>
      <w:spacing w:before="100" w:beforeAutospacing="1" w:after="100" w:afterAutospacing="1" w:line="240" w:lineRule="auto"/>
    </w:pPr>
    <w:rPr>
      <w:rFonts w:ascii="Times New Roman" w:eastAsia="Times New Roman" w:hAnsi="Times New Roman" w:cs="Times New Roman"/>
      <w:b/>
      <w:bCs/>
      <w:i/>
      <w:iCs/>
      <w:color w:val="333399"/>
      <w:sz w:val="18"/>
      <w:szCs w:val="18"/>
      <w:lang w:eastAsia="es-ES"/>
    </w:rPr>
  </w:style>
  <w:style w:type="paragraph" w:customStyle="1" w:styleId="normextratext">
    <w:name w:val="normextratext"/>
    <w:basedOn w:val="Normal"/>
    <w:rsid w:val="00AB7E85"/>
    <w:pPr>
      <w:spacing w:before="100" w:beforeAutospacing="1" w:after="100" w:afterAutospacing="1" w:line="240" w:lineRule="auto"/>
    </w:pPr>
    <w:rPr>
      <w:rFonts w:ascii="Times New Roman" w:eastAsia="Times New Roman" w:hAnsi="Times New Roman" w:cs="Times New Roman"/>
      <w:i/>
      <w:iCs/>
      <w:color w:val="999999"/>
      <w:sz w:val="24"/>
      <w:szCs w:val="24"/>
      <w:lang w:eastAsia="es-ES"/>
    </w:rPr>
  </w:style>
  <w:style w:type="paragraph" w:customStyle="1" w:styleId="divtitle">
    <w:name w:val="divtitle"/>
    <w:basedOn w:val="Normal"/>
    <w:rsid w:val="00AB7E85"/>
    <w:pPr>
      <w:spacing w:before="100" w:beforeAutospacing="1" w:after="100" w:afterAutospacing="1" w:line="240" w:lineRule="auto"/>
    </w:pPr>
    <w:rPr>
      <w:rFonts w:ascii="Times New Roman" w:eastAsia="Times New Roman" w:hAnsi="Times New Roman" w:cs="Times New Roman"/>
      <w:b/>
      <w:bCs/>
      <w:color w:val="333333"/>
      <w:sz w:val="24"/>
      <w:szCs w:val="24"/>
      <w:lang w:eastAsia="es-ES"/>
    </w:rPr>
  </w:style>
  <w:style w:type="paragraph" w:customStyle="1" w:styleId="divintro">
    <w:name w:val="divintro"/>
    <w:basedOn w:val="Normal"/>
    <w:rsid w:val="00AB7E85"/>
    <w:pPr>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arttitle">
    <w:name w:val="arttitle"/>
    <w:basedOn w:val="Normal"/>
    <w:rsid w:val="00AB7E85"/>
    <w:pPr>
      <w:spacing w:before="100" w:beforeAutospacing="1" w:after="100" w:afterAutospacing="1" w:line="240" w:lineRule="auto"/>
    </w:pPr>
    <w:rPr>
      <w:rFonts w:ascii="Times New Roman" w:eastAsia="Times New Roman" w:hAnsi="Times New Roman" w:cs="Times New Roman"/>
      <w:b/>
      <w:bCs/>
      <w:i/>
      <w:iCs/>
      <w:color w:val="333333"/>
      <w:sz w:val="24"/>
      <w:szCs w:val="24"/>
      <w:lang w:eastAsia="es-ES"/>
    </w:rPr>
  </w:style>
  <w:style w:type="paragraph" w:customStyle="1" w:styleId="arttext">
    <w:name w:val="arttext"/>
    <w:basedOn w:val="Normal"/>
    <w:rsid w:val="00AB7E85"/>
    <w:pPr>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favmsg">
    <w:name w:val="favmsg"/>
    <w:basedOn w:val="Normal"/>
    <w:rsid w:val="00AB7E85"/>
    <w:pPr>
      <w:spacing w:before="100" w:beforeAutospacing="1" w:after="100" w:afterAutospacing="1" w:line="240" w:lineRule="auto"/>
    </w:pPr>
    <w:rPr>
      <w:rFonts w:ascii="Times New Roman" w:eastAsia="Times New Roman" w:hAnsi="Times New Roman" w:cs="Times New Roman"/>
      <w:color w:val="006600"/>
      <w:sz w:val="18"/>
      <w:szCs w:val="18"/>
      <w:lang w:eastAsia="es-ES"/>
    </w:rPr>
  </w:style>
  <w:style w:type="paragraph" w:customStyle="1" w:styleId="normoptionmenuitem">
    <w:name w:val="normoptionmenuitem"/>
    <w:basedOn w:val="Normal"/>
    <w:rsid w:val="00AB7E85"/>
    <w:pPr>
      <w:spacing w:before="100" w:beforeAutospacing="1" w:after="100" w:afterAutospacing="1" w:line="240" w:lineRule="auto"/>
    </w:pPr>
    <w:rPr>
      <w:rFonts w:ascii="Times New Roman" w:eastAsia="Times New Roman" w:hAnsi="Times New Roman" w:cs="Times New Roman"/>
      <w:color w:val="666666"/>
      <w:sz w:val="24"/>
      <w:szCs w:val="24"/>
      <w:lang w:eastAsia="es-ES"/>
    </w:rPr>
  </w:style>
  <w:style w:type="paragraph" w:customStyle="1" w:styleId="normoptionmenuitemselected">
    <w:name w:val="normoptionmenuitemselected"/>
    <w:basedOn w:val="Normal"/>
    <w:rsid w:val="00AB7E85"/>
    <w:pPr>
      <w:shd w:val="clear" w:color="auto" w:fill="E2ECF6"/>
      <w:spacing w:before="100" w:beforeAutospacing="1" w:after="100" w:afterAutospacing="1" w:line="240" w:lineRule="auto"/>
    </w:pPr>
    <w:rPr>
      <w:rFonts w:ascii="Times New Roman" w:eastAsia="Times New Roman" w:hAnsi="Times New Roman" w:cs="Times New Roman"/>
      <w:color w:val="000000"/>
      <w:sz w:val="24"/>
      <w:szCs w:val="24"/>
      <w:lang w:eastAsia="es-ES"/>
    </w:rPr>
  </w:style>
  <w:style w:type="paragraph" w:customStyle="1" w:styleId="usermodblue">
    <w:name w:val="usermodblue"/>
    <w:basedOn w:val="Normal"/>
    <w:rsid w:val="00AB7E85"/>
    <w:pPr>
      <w:spacing w:before="100" w:beforeAutospacing="1" w:after="100" w:afterAutospacing="1" w:line="240" w:lineRule="auto"/>
    </w:pPr>
    <w:rPr>
      <w:rFonts w:ascii="Times New Roman" w:eastAsia="Times New Roman" w:hAnsi="Times New Roman" w:cs="Times New Roman"/>
      <w:color w:val="000080"/>
      <w:sz w:val="24"/>
      <w:szCs w:val="24"/>
      <w:lang w:eastAsia="es-ES"/>
    </w:rPr>
  </w:style>
  <w:style w:type="paragraph" w:customStyle="1" w:styleId="usermodgray">
    <w:name w:val="usermodgray"/>
    <w:basedOn w:val="Normal"/>
    <w:rsid w:val="00AB7E85"/>
    <w:pPr>
      <w:spacing w:before="100" w:beforeAutospacing="1" w:after="100" w:afterAutospacing="1" w:line="240" w:lineRule="auto"/>
    </w:pPr>
    <w:rPr>
      <w:rFonts w:ascii="Times New Roman" w:eastAsia="Times New Roman" w:hAnsi="Times New Roman" w:cs="Times New Roman"/>
      <w:color w:val="777777"/>
      <w:sz w:val="24"/>
      <w:szCs w:val="24"/>
      <w:lang w:eastAsia="es-ES"/>
    </w:rPr>
  </w:style>
  <w:style w:type="paragraph" w:customStyle="1" w:styleId="usertachadura">
    <w:name w:val="usertachadura"/>
    <w:basedOn w:val="Normal"/>
    <w:rsid w:val="00AB7E85"/>
    <w:pPr>
      <w:spacing w:before="100" w:beforeAutospacing="1" w:after="100" w:afterAutospacing="1" w:line="240" w:lineRule="auto"/>
    </w:pPr>
    <w:rPr>
      <w:rFonts w:ascii="Times New Roman" w:eastAsia="Times New Roman" w:hAnsi="Times New Roman" w:cs="Times New Roman"/>
      <w:strike/>
      <w:color w:val="000080"/>
      <w:sz w:val="24"/>
      <w:szCs w:val="24"/>
      <w:lang w:eastAsia="es-ES"/>
    </w:rPr>
  </w:style>
  <w:style w:type="paragraph" w:customStyle="1" w:styleId="usermodgrayitalic">
    <w:name w:val="usermodgrayitalic"/>
    <w:basedOn w:val="Normal"/>
    <w:rsid w:val="00AB7E85"/>
    <w:pPr>
      <w:spacing w:before="100" w:beforeAutospacing="1" w:after="100" w:afterAutospacing="1" w:line="240" w:lineRule="auto"/>
    </w:pPr>
    <w:rPr>
      <w:rFonts w:ascii="Times New Roman" w:eastAsia="Times New Roman" w:hAnsi="Times New Roman" w:cs="Times New Roman"/>
      <w:i/>
      <w:iCs/>
      <w:color w:val="777777"/>
      <w:sz w:val="24"/>
      <w:szCs w:val="24"/>
      <w:lang w:eastAsia="es-ES"/>
    </w:rPr>
  </w:style>
  <w:style w:type="paragraph" w:customStyle="1" w:styleId="usermoditalic">
    <w:name w:val="usermoditalic"/>
    <w:basedOn w:val="Normal"/>
    <w:rsid w:val="00AB7E85"/>
    <w:pPr>
      <w:spacing w:before="100" w:beforeAutospacing="1" w:after="100" w:afterAutospacing="1" w:line="240" w:lineRule="auto"/>
    </w:pPr>
    <w:rPr>
      <w:rFonts w:ascii="Times New Roman" w:eastAsia="Times New Roman" w:hAnsi="Times New Roman" w:cs="Times New Roman"/>
      <w:i/>
      <w:iCs/>
      <w:sz w:val="24"/>
      <w:szCs w:val="24"/>
      <w:lang w:eastAsia="es-ES"/>
    </w:rPr>
  </w:style>
  <w:style w:type="paragraph" w:customStyle="1" w:styleId="userconstitucional">
    <w:name w:val="userconstitucional"/>
    <w:basedOn w:val="Normal"/>
    <w:rsid w:val="00AB7E85"/>
    <w:pPr>
      <w:spacing w:before="100" w:beforeAutospacing="1" w:after="100" w:afterAutospacing="1" w:line="240" w:lineRule="auto"/>
    </w:pPr>
    <w:rPr>
      <w:rFonts w:ascii="Times New Roman" w:eastAsia="Times New Roman" w:hAnsi="Times New Roman" w:cs="Times New Roman"/>
      <w:sz w:val="24"/>
      <w:szCs w:val="24"/>
      <w:u w:val="single"/>
      <w:lang w:eastAsia="es-ES"/>
    </w:rPr>
  </w:style>
  <w:style w:type="paragraph" w:customStyle="1" w:styleId="usertable1">
    <w:name w:val="usertable1"/>
    <w:basedOn w:val="Normal"/>
    <w:rsid w:val="00AB7E85"/>
    <w:pPr>
      <w:spacing w:before="100" w:beforeAutospacing="1" w:after="100" w:afterAutospacing="1" w:line="240" w:lineRule="auto"/>
    </w:pPr>
    <w:rPr>
      <w:rFonts w:ascii="Times New Roman" w:eastAsia="Times New Roman" w:hAnsi="Times New Roman" w:cs="Times New Roman"/>
      <w:sz w:val="18"/>
      <w:szCs w:val="18"/>
      <w:lang w:eastAsia="es-ES"/>
    </w:rPr>
  </w:style>
  <w:style w:type="paragraph" w:customStyle="1" w:styleId="userprecedente">
    <w:name w:val="userprecedente"/>
    <w:basedOn w:val="Normal"/>
    <w:rsid w:val="00AB7E85"/>
    <w:pPr>
      <w:spacing w:before="100" w:beforeAutospacing="1" w:after="100" w:afterAutospacing="1" w:line="240" w:lineRule="auto"/>
    </w:pPr>
    <w:rPr>
      <w:rFonts w:ascii="Times New Roman" w:eastAsia="Times New Roman" w:hAnsi="Times New Roman" w:cs="Times New Roman"/>
      <w:color w:val="000080"/>
      <w:sz w:val="24"/>
      <w:szCs w:val="24"/>
      <w:lang w:eastAsia="es-ES"/>
    </w:rPr>
  </w:style>
  <w:style w:type="paragraph" w:customStyle="1" w:styleId="usernotas">
    <w:name w:val="usernotas"/>
    <w:basedOn w:val="Normal"/>
    <w:rsid w:val="00AB7E85"/>
    <w:pPr>
      <w:spacing w:before="100" w:beforeAutospacing="1" w:after="100" w:afterAutospacing="1" w:line="240" w:lineRule="auto"/>
    </w:pPr>
    <w:rPr>
      <w:rFonts w:ascii="Times New Roman" w:eastAsia="Times New Roman" w:hAnsi="Times New Roman" w:cs="Times New Roman"/>
      <w:b/>
      <w:bCs/>
      <w:color w:val="000080"/>
      <w:sz w:val="24"/>
      <w:szCs w:val="24"/>
      <w:lang w:eastAsia="es-ES"/>
    </w:rPr>
  </w:style>
  <w:style w:type="paragraph" w:customStyle="1" w:styleId="usersize9">
    <w:name w:val="usersize9"/>
    <w:basedOn w:val="Normal"/>
    <w:rsid w:val="00AB7E85"/>
    <w:pPr>
      <w:spacing w:before="100" w:beforeAutospacing="1" w:after="100" w:afterAutospacing="1" w:line="240" w:lineRule="auto"/>
    </w:pPr>
    <w:rPr>
      <w:rFonts w:ascii="Times New Roman" w:eastAsia="Times New Roman" w:hAnsi="Times New Roman" w:cs="Times New Roman"/>
      <w:sz w:val="14"/>
      <w:szCs w:val="14"/>
      <w:lang w:eastAsia="es-ES"/>
    </w:rPr>
  </w:style>
  <w:style w:type="paragraph" w:customStyle="1" w:styleId="usersize10">
    <w:name w:val="usersize10"/>
    <w:basedOn w:val="Normal"/>
    <w:rsid w:val="00AB7E85"/>
    <w:pPr>
      <w:spacing w:before="100" w:beforeAutospacing="1" w:after="100" w:afterAutospacing="1" w:line="240" w:lineRule="auto"/>
    </w:pPr>
    <w:rPr>
      <w:rFonts w:ascii="Times New Roman" w:eastAsia="Times New Roman" w:hAnsi="Times New Roman" w:cs="Times New Roman"/>
      <w:sz w:val="15"/>
      <w:szCs w:val="15"/>
      <w:lang w:eastAsia="es-ES"/>
    </w:rPr>
  </w:style>
  <w:style w:type="paragraph" w:customStyle="1" w:styleId="usersize11">
    <w:name w:val="usersize11"/>
    <w:basedOn w:val="Normal"/>
    <w:rsid w:val="00AB7E85"/>
    <w:pPr>
      <w:spacing w:before="100" w:beforeAutospacing="1" w:after="100" w:afterAutospacing="1" w:line="240" w:lineRule="auto"/>
    </w:pPr>
    <w:rPr>
      <w:rFonts w:ascii="Times New Roman" w:eastAsia="Times New Roman" w:hAnsi="Times New Roman" w:cs="Times New Roman"/>
      <w:sz w:val="17"/>
      <w:szCs w:val="17"/>
      <w:lang w:eastAsia="es-ES"/>
    </w:rPr>
  </w:style>
  <w:style w:type="paragraph" w:styleId="Textodeglobo">
    <w:name w:val="Balloon Text"/>
    <w:basedOn w:val="Normal"/>
    <w:link w:val="TextodegloboCar"/>
    <w:uiPriority w:val="99"/>
    <w:semiHidden/>
    <w:unhideWhenUsed/>
    <w:rsid w:val="00AB7E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B7E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362023">
      <w:bodyDiv w:val="1"/>
      <w:marLeft w:val="0"/>
      <w:marRight w:val="0"/>
      <w:marTop w:val="0"/>
      <w:marBottom w:val="0"/>
      <w:divBdr>
        <w:top w:val="none" w:sz="0" w:space="0" w:color="auto"/>
        <w:left w:val="none" w:sz="0" w:space="0" w:color="auto"/>
        <w:bottom w:val="none" w:sz="0" w:space="0" w:color="auto"/>
        <w:right w:val="none" w:sz="0" w:space="0" w:color="auto"/>
      </w:divBdr>
      <w:divsChild>
        <w:div w:id="1555970597">
          <w:marLeft w:val="0"/>
          <w:marRight w:val="0"/>
          <w:marTop w:val="0"/>
          <w:marBottom w:val="0"/>
          <w:divBdr>
            <w:top w:val="none" w:sz="0" w:space="0" w:color="auto"/>
            <w:left w:val="none" w:sz="0" w:space="0" w:color="auto"/>
            <w:bottom w:val="none" w:sz="0" w:space="0" w:color="auto"/>
            <w:right w:val="none" w:sz="0" w:space="0" w:color="auto"/>
          </w:divBdr>
        </w:div>
        <w:div w:id="1175266871">
          <w:marLeft w:val="0"/>
          <w:marRight w:val="0"/>
          <w:marTop w:val="0"/>
          <w:marBottom w:val="0"/>
          <w:divBdr>
            <w:top w:val="none" w:sz="0" w:space="0" w:color="auto"/>
            <w:left w:val="none" w:sz="0" w:space="0" w:color="auto"/>
            <w:bottom w:val="none" w:sz="0" w:space="0" w:color="auto"/>
            <w:right w:val="none" w:sz="0" w:space="0" w:color="auto"/>
          </w:divBdr>
        </w:div>
        <w:div w:id="750469164">
          <w:marLeft w:val="0"/>
          <w:marRight w:val="0"/>
          <w:marTop w:val="0"/>
          <w:marBottom w:val="0"/>
          <w:divBdr>
            <w:top w:val="none" w:sz="0" w:space="0" w:color="auto"/>
            <w:left w:val="none" w:sz="0" w:space="0" w:color="auto"/>
            <w:bottom w:val="none" w:sz="0" w:space="0" w:color="auto"/>
            <w:right w:val="none" w:sz="0" w:space="0" w:color="auto"/>
          </w:divBdr>
        </w:div>
        <w:div w:id="1883322251">
          <w:marLeft w:val="0"/>
          <w:marRight w:val="0"/>
          <w:marTop w:val="0"/>
          <w:marBottom w:val="0"/>
          <w:divBdr>
            <w:top w:val="none" w:sz="0" w:space="0" w:color="auto"/>
            <w:left w:val="none" w:sz="0" w:space="0" w:color="auto"/>
            <w:bottom w:val="none" w:sz="0" w:space="0" w:color="auto"/>
            <w:right w:val="none" w:sz="0" w:space="0" w:color="auto"/>
          </w:divBdr>
        </w:div>
        <w:div w:id="1972440641">
          <w:marLeft w:val="0"/>
          <w:marRight w:val="0"/>
          <w:marTop w:val="0"/>
          <w:marBottom w:val="0"/>
          <w:divBdr>
            <w:top w:val="none" w:sz="0" w:space="0" w:color="auto"/>
            <w:left w:val="none" w:sz="0" w:space="0" w:color="auto"/>
            <w:bottom w:val="none" w:sz="0" w:space="0" w:color="auto"/>
            <w:right w:val="none" w:sz="0" w:space="0" w:color="auto"/>
          </w:divBdr>
        </w:div>
        <w:div w:id="1587497965">
          <w:marLeft w:val="0"/>
          <w:marRight w:val="0"/>
          <w:marTop w:val="0"/>
          <w:marBottom w:val="0"/>
          <w:divBdr>
            <w:top w:val="none" w:sz="0" w:space="0" w:color="auto"/>
            <w:left w:val="none" w:sz="0" w:space="0" w:color="auto"/>
            <w:bottom w:val="none" w:sz="0" w:space="0" w:color="auto"/>
            <w:right w:val="none" w:sz="0" w:space="0" w:color="auto"/>
          </w:divBdr>
        </w:div>
        <w:div w:id="1448238393">
          <w:marLeft w:val="0"/>
          <w:marRight w:val="0"/>
          <w:marTop w:val="0"/>
          <w:marBottom w:val="0"/>
          <w:divBdr>
            <w:top w:val="none" w:sz="0" w:space="0" w:color="auto"/>
            <w:left w:val="none" w:sz="0" w:space="0" w:color="auto"/>
            <w:bottom w:val="none" w:sz="0" w:space="0" w:color="auto"/>
            <w:right w:val="none" w:sz="0" w:space="0" w:color="auto"/>
          </w:divBdr>
        </w:div>
        <w:div w:id="116678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penNorm('shownorm.php?id=1401','nor')" TargetMode="External"/><Relationship Id="rId13" Type="http://schemas.openxmlformats.org/officeDocument/2006/relationships/image" Target="media/image2.gif"/><Relationship Id="rId18" Type="http://schemas.openxmlformats.org/officeDocument/2006/relationships/image" Target="media/image7.gi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0.gif"/><Relationship Id="rId7" Type="http://schemas.openxmlformats.org/officeDocument/2006/relationships/hyperlink" Target="javascript:openNorm('shownorm.php?id=1401','nor')" TargetMode="Externa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hyperlink" Target="javascript:openNorm('shownorm.php?id=1015','nor')" TargetMode="External"/><Relationship Id="rId2" Type="http://schemas.openxmlformats.org/officeDocument/2006/relationships/settings" Target="settings.xml"/><Relationship Id="rId16" Type="http://schemas.openxmlformats.org/officeDocument/2006/relationships/image" Target="media/image5.gif"/><Relationship Id="rId20" Type="http://schemas.openxmlformats.org/officeDocument/2006/relationships/image" Target="media/image9.gif"/><Relationship Id="rId1" Type="http://schemas.openxmlformats.org/officeDocument/2006/relationships/styles" Target="styles.xml"/><Relationship Id="rId6" Type="http://schemas.openxmlformats.org/officeDocument/2006/relationships/hyperlink" Target="javascript:openNorm('shownorm.php?id=566','nor')" TargetMode="External"/><Relationship Id="rId11" Type="http://schemas.openxmlformats.org/officeDocument/2006/relationships/hyperlink" Target="javascript:alert('Opci&#243;n%20para%20usuarios%20con%20plan%20PLUS%20o%20TOTAL.')" TargetMode="External"/><Relationship Id="rId24" Type="http://schemas.openxmlformats.org/officeDocument/2006/relationships/hyperlink" Target="javascript:openNorm('shownorm.php?id=1398','nor')" TargetMode="External"/><Relationship Id="rId5" Type="http://schemas.openxmlformats.org/officeDocument/2006/relationships/hyperlink" Target="javascript:openNorm('shownorm.php?id=1009','nor')" TargetMode="External"/><Relationship Id="rId15" Type="http://schemas.openxmlformats.org/officeDocument/2006/relationships/image" Target="media/image4.gif"/><Relationship Id="rId23" Type="http://schemas.openxmlformats.org/officeDocument/2006/relationships/hyperlink" Target="javascript:openNorm('shownorm.php?id=1736','nor')" TargetMode="External"/><Relationship Id="rId10" Type="http://schemas.openxmlformats.org/officeDocument/2006/relationships/hyperlink" Target="javascript:openNorm('shownorm.php?id=1009','nor')" TargetMode="External"/><Relationship Id="rId19" Type="http://schemas.openxmlformats.org/officeDocument/2006/relationships/image" Target="media/image8.gif"/><Relationship Id="rId4" Type="http://schemas.openxmlformats.org/officeDocument/2006/relationships/hyperlink" Target="javascript:openNorm('shownorm.php?id=1009','nor')" TargetMode="External"/><Relationship Id="rId9" Type="http://schemas.openxmlformats.org/officeDocument/2006/relationships/hyperlink" Target="javascript:openNorm('shownorm.php?id=566','nor')" TargetMode="External"/><Relationship Id="rId14" Type="http://schemas.openxmlformats.org/officeDocument/2006/relationships/image" Target="media/image3.gif"/><Relationship Id="rId22" Type="http://schemas.openxmlformats.org/officeDocument/2006/relationships/hyperlink" Target="javascript:openNorm('shownorm.php?id=1009','nor')"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5017</Words>
  <Characters>27594</Characters>
  <Application>Microsoft Office Word</Application>
  <DocSecurity>0</DocSecurity>
  <Lines>229</Lines>
  <Paragraphs>65</Paragraphs>
  <ScaleCrop>false</ScaleCrop>
  <Company>ministerio</Company>
  <LinksUpToDate>false</LinksUpToDate>
  <CharactersWithSpaces>32546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justicia</dc:creator>
  <cp:keywords/>
  <dc:description/>
  <cp:lastModifiedBy>justicia</cp:lastModifiedBy>
  <cp:revision>2</cp:revision>
  <dcterms:created xsi:type="dcterms:W3CDTF">2011-03-11T22:49:00Z</dcterms:created>
  <dcterms:modified xsi:type="dcterms:W3CDTF">2011-03-14T12:45:00Z</dcterms:modified>
</cp:coreProperties>
</file>